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bookmarkStart w:id="48" w:name="_GoBack"/>
      <w:bookmarkEnd w:id="48"/>
      <w:r>
        <w:rPr>
          <w:rFonts w:ascii="黑体" w:hAnsi="黑体" w:eastAsia="黑体" w:cs="黑体"/>
          <w:color w:val="000000"/>
          <w:sz w:val="48"/>
          <w:szCs w:val="48"/>
        </w:rPr>
        <w:pict>
          <v:shape id="图片 8" o:spid="_x0000_s1026" o:spt="75" alt="校服最新2016.11  b" type="#_x0000_t75" style="position:absolute;left:0pt;margin-left:0.65pt;margin-top:-16.75pt;height:66.65pt;width:74.8pt;mso-wrap-distance-bottom:0pt;mso-wrap-distance-left:9pt;mso-wrap-distance-right:9pt;mso-wrap-distance-top:0pt;z-index:251659264;mso-width-relative:page;mso-height-relative:page;" filled="f" o:preferrelative="t" stroked="f" coordsize="21600,21600">
            <v:path/>
            <v:fill on="f" focussize="0,0"/>
            <v:stroke on="f" joinstyle="miter"/>
            <v:imagedata r:id="rId7" o:title="校服最新2016"/>
            <o:lock v:ext="edit" aspectratio="t"/>
            <w10:wrap type="square"/>
          </v:shape>
        </w:pict>
      </w:r>
      <w:r>
        <w:rPr>
          <w:rFonts w:hint="eastAsia" w:ascii="黑体" w:hAnsi="黑体" w:eastAsia="黑体" w:cs="黑体"/>
          <w:b/>
          <w:bCs/>
          <w:color w:val="000000"/>
          <w:sz w:val="48"/>
          <w:szCs w:val="48"/>
        </w:rPr>
        <w:t>松桃苗族自治县中等职业学校</w:t>
      </w:r>
    </w:p>
    <w:p>
      <w:pPr>
        <w:spacing w:line="800" w:lineRule="exact"/>
        <w:rPr>
          <w:rFonts w:ascii="仿宋" w:hAnsi="仿宋" w:eastAsia="仿宋" w:cs="宋体"/>
          <w:color w:val="000000"/>
          <w:sz w:val="36"/>
          <w:szCs w:val="36"/>
        </w:rPr>
      </w:pPr>
      <w:r>
        <w:rPr>
          <w:rFonts w:hint="eastAsia" w:ascii="仿宋" w:hAnsi="仿宋" w:eastAsia="仿宋" w:cs="宋体"/>
          <w:color w:val="000000"/>
          <w:sz w:val="36"/>
          <w:szCs w:val="36"/>
        </w:rPr>
        <w:t>休闲农业生产与经营专业人才培养方案</w:t>
      </w:r>
    </w:p>
    <w:p>
      <w:pPr>
        <w:spacing w:line="800" w:lineRule="exact"/>
        <w:ind w:firstLine="3960" w:firstLineChars="900"/>
        <w:rPr>
          <w:rFonts w:ascii="仿宋" w:hAnsi="仿宋" w:eastAsia="仿宋" w:cs="宋体"/>
          <w:color w:val="000000"/>
          <w:sz w:val="44"/>
          <w:szCs w:val="44"/>
        </w:rPr>
      </w:pPr>
      <w:r>
        <w:rPr>
          <w:rFonts w:hint="eastAsia" w:ascii="仿宋" w:hAnsi="仿宋" w:eastAsia="仿宋" w:cs="宋体"/>
          <w:color w:val="000000"/>
          <w:sz w:val="44"/>
          <w:szCs w:val="44"/>
        </w:rPr>
        <w:t>（修订）</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rPr>
          <w:rFonts w:ascii="仿宋" w:hAnsi="仿宋" w:cs="仿宋"/>
          <w:b/>
          <w:bCs/>
          <w:color w:val="000000"/>
          <w:sz w:val="36"/>
          <w:szCs w:val="36"/>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专业名称：</w:t>
      </w:r>
      <w:r>
        <w:rPr>
          <w:rFonts w:hint="eastAsia" w:ascii="仿宋" w:hAnsi="仿宋" w:eastAsia="仿宋" w:cs="仿宋"/>
          <w:b/>
          <w:bCs/>
          <w:color w:val="000000"/>
          <w:sz w:val="36"/>
          <w:szCs w:val="36"/>
          <w:u w:val="single"/>
        </w:rPr>
        <w:t xml:space="preserve">     </w:t>
      </w:r>
      <w:r>
        <w:rPr>
          <w:rFonts w:hint="eastAsia" w:ascii="仿宋" w:hAnsi="仿宋" w:eastAsia="仿宋" w:cstheme="minorEastAsia"/>
          <w:b/>
          <w:bCs/>
          <w:sz w:val="36"/>
          <w:szCs w:val="36"/>
          <w:u w:val="single"/>
        </w:rPr>
        <w:t>休闲农业生产与经营</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专业代码：</w:t>
      </w:r>
      <w:r>
        <w:rPr>
          <w:rFonts w:hint="eastAsia" w:ascii="仿宋" w:hAnsi="仿宋" w:eastAsia="仿宋" w:cs="仿宋"/>
          <w:b/>
          <w:bCs/>
          <w:color w:val="000000"/>
          <w:sz w:val="36"/>
          <w:szCs w:val="36"/>
          <w:u w:val="single"/>
        </w:rPr>
        <w:t xml:space="preserve">        </w:t>
      </w:r>
      <w:r>
        <w:rPr>
          <w:rFonts w:hint="eastAsia" w:ascii="仿宋" w:hAnsi="仿宋" w:eastAsia="仿宋" w:cstheme="minorEastAsia"/>
          <w:b/>
          <w:bCs/>
          <w:sz w:val="36"/>
          <w:szCs w:val="36"/>
          <w:u w:val="single"/>
        </w:rPr>
        <w:t>610118</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专业带头人：</w:t>
      </w:r>
      <w:r>
        <w:rPr>
          <w:rFonts w:hint="eastAsia" w:ascii="仿宋" w:hAnsi="仿宋" w:eastAsia="仿宋" w:cs="仿宋"/>
          <w:b/>
          <w:bCs/>
          <w:color w:val="000000"/>
          <w:sz w:val="36"/>
          <w:szCs w:val="36"/>
          <w:u w:val="single"/>
        </w:rPr>
        <w:t xml:space="preserve">     </w:t>
      </w:r>
      <w:r>
        <w:rPr>
          <w:rFonts w:hint="eastAsia" w:ascii="仿宋" w:hAnsi="仿宋" w:eastAsia="仿宋" w:cstheme="minorEastAsia"/>
          <w:b/>
          <w:bCs/>
          <w:sz w:val="36"/>
          <w:szCs w:val="36"/>
          <w:u w:val="single"/>
        </w:rPr>
        <w:t>龙再英</w:t>
      </w:r>
      <w:r>
        <w:rPr>
          <w:rFonts w:hint="eastAsia" w:ascii="仿宋" w:hAnsi="仿宋" w:eastAsia="仿宋" w:cs="仿宋"/>
          <w:b/>
          <w:bCs/>
          <w:color w:val="000000"/>
          <w:sz w:val="36"/>
          <w:szCs w:val="36"/>
          <w:u w:val="single"/>
        </w:rPr>
        <w:t xml:space="preserve">                </w:t>
      </w:r>
    </w:p>
    <w:p>
      <w:pPr>
        <w:tabs>
          <w:tab w:val="left" w:pos="4666"/>
        </w:tabs>
        <w:spacing w:line="800" w:lineRule="exact"/>
        <w:ind w:left="3021" w:leftChars="750" w:hanging="1446" w:hangingChars="400"/>
        <w:rPr>
          <w:rFonts w:ascii="仿宋" w:hAnsi="仿宋" w:eastAsia="仿宋" w:cstheme="minorEastAsia"/>
          <w:b/>
          <w:bCs/>
          <w:sz w:val="36"/>
          <w:szCs w:val="36"/>
          <w:u w:val="single"/>
        </w:rPr>
      </w:pPr>
      <w:r>
        <w:rPr>
          <w:rFonts w:hint="eastAsia" w:ascii="仿宋" w:hAnsi="仿宋" w:eastAsia="仿宋" w:cs="仿宋"/>
          <w:b/>
          <w:bCs/>
          <w:color w:val="000000"/>
          <w:sz w:val="36"/>
          <w:szCs w:val="36"/>
        </w:rPr>
        <w:t>编 制 人：</w:t>
      </w:r>
      <w:r>
        <w:rPr>
          <w:rFonts w:hint="eastAsia" w:ascii="仿宋" w:hAnsi="仿宋" w:eastAsia="仿宋" w:cstheme="minorEastAsia"/>
          <w:b/>
          <w:bCs/>
          <w:sz w:val="36"/>
          <w:szCs w:val="36"/>
          <w:u w:val="single"/>
        </w:rPr>
        <w:t>邓丰清、龙再英、任玲、许燕</w:t>
      </w:r>
    </w:p>
    <w:p>
      <w:pPr>
        <w:tabs>
          <w:tab w:val="left" w:pos="4666"/>
        </w:tabs>
        <w:spacing w:line="800" w:lineRule="exact"/>
        <w:ind w:left="2415" w:leftChars="1150" w:firstLine="1084" w:firstLineChars="300"/>
        <w:rPr>
          <w:rFonts w:ascii="仿宋" w:hAnsi="仿宋" w:eastAsia="仿宋" w:cstheme="minorEastAsia"/>
          <w:b/>
          <w:bCs/>
          <w:sz w:val="36"/>
          <w:szCs w:val="36"/>
          <w:u w:val="single"/>
        </w:rPr>
      </w:pPr>
      <w:r>
        <w:rPr>
          <w:rFonts w:hint="eastAsia" w:ascii="仿宋" w:hAnsi="仿宋" w:eastAsia="仿宋" w:cstheme="minorEastAsia"/>
          <w:b/>
          <w:bCs/>
          <w:sz w:val="36"/>
          <w:szCs w:val="36"/>
          <w:u w:val="single"/>
        </w:rPr>
        <w:t>周渊、宋必、张亚霞、杨雨农</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审 核 人：</w:t>
      </w:r>
      <w:r>
        <w:rPr>
          <w:rFonts w:hint="eastAsia" w:ascii="仿宋" w:hAnsi="仿宋" w:eastAsia="仿宋" w:cs="仿宋"/>
          <w:b/>
          <w:bCs/>
          <w:color w:val="000000"/>
          <w:sz w:val="36"/>
          <w:szCs w:val="36"/>
          <w:u w:val="single"/>
        </w:rPr>
        <w:t xml:space="preserve">        谭勇                 </w:t>
      </w:r>
    </w:p>
    <w:p>
      <w:pPr>
        <w:tabs>
          <w:tab w:val="left" w:pos="4666"/>
        </w:tabs>
        <w:spacing w:line="800" w:lineRule="exact"/>
        <w:ind w:firstLine="1446" w:firstLineChars="400"/>
        <w:rPr>
          <w:rFonts w:ascii="仿宋" w:hAnsi="仿宋" w:eastAsia="仿宋" w:cs="仿宋GB-2312"/>
          <w:b/>
          <w:bCs/>
          <w:color w:val="000000"/>
          <w:sz w:val="36"/>
          <w:szCs w:val="36"/>
        </w:rPr>
      </w:pPr>
      <w:r>
        <w:rPr>
          <w:rFonts w:hint="eastAsia" w:ascii="仿宋" w:hAnsi="仿宋" w:eastAsia="仿宋" w:cs="仿宋"/>
          <w:b/>
          <w:bCs/>
          <w:color w:val="000000"/>
          <w:sz w:val="36"/>
          <w:szCs w:val="36"/>
        </w:rPr>
        <w:t>编制时间：</w:t>
      </w:r>
      <w:r>
        <w:rPr>
          <w:rFonts w:hint="eastAsia" w:ascii="仿宋" w:hAnsi="仿宋" w:eastAsia="仿宋" w:cs="仿宋"/>
          <w:b/>
          <w:bCs/>
          <w:color w:val="000000"/>
          <w:sz w:val="36"/>
          <w:szCs w:val="36"/>
          <w:u w:val="single"/>
        </w:rPr>
        <w:t xml:space="preserve">      2021年5月             </w:t>
      </w:r>
    </w:p>
    <w:p>
      <w:pPr>
        <w:tabs>
          <w:tab w:val="left" w:pos="4666"/>
        </w:tabs>
        <w:spacing w:line="800" w:lineRule="exact"/>
        <w:ind w:firstLine="720"/>
        <w:rPr>
          <w:rFonts w:ascii="仿宋GB-2312" w:hAnsi="仿宋GB-2312" w:eastAsia="仿宋GB-2312" w:cs="仿宋GB-2312"/>
          <w:color w:val="000000"/>
          <w:sz w:val="36"/>
          <w:szCs w:val="36"/>
        </w:rPr>
      </w:pPr>
      <w:r>
        <w:rPr>
          <w:rFonts w:hint="eastAsia" w:ascii="仿宋GB-2312" w:hAnsi="仿宋GB-2312" w:eastAsia="仿宋GB-2312" w:cs="仿宋GB-2312"/>
          <w:color w:val="000000"/>
          <w:sz w:val="36"/>
          <w:szCs w:val="36"/>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spacing w:line="480" w:lineRule="exact"/>
        <w:rPr>
          <w:rFonts w:ascii="仿宋" w:hAnsi="仿宋" w:eastAsia="仿宋" w:cs="仿宋"/>
          <w:color w:val="000000"/>
          <w:sz w:val="36"/>
          <w:szCs w:val="36"/>
        </w:rPr>
      </w:pPr>
    </w:p>
    <w:p>
      <w:pPr>
        <w:spacing w:line="480" w:lineRule="exact"/>
        <w:jc w:val="center"/>
        <w:rPr>
          <w:rFonts w:ascii="仿宋" w:hAnsi="仿宋" w:eastAsia="仿宋" w:cs="仿宋"/>
          <w:color w:val="000000"/>
          <w:sz w:val="36"/>
          <w:szCs w:val="36"/>
        </w:rPr>
      </w:pPr>
    </w:p>
    <w:p>
      <w:pPr>
        <w:spacing w:line="480" w:lineRule="exact"/>
        <w:jc w:val="center"/>
        <w:rPr>
          <w:rFonts w:ascii="仿宋" w:hAnsi="仿宋" w:eastAsia="仿宋" w:cs="仿宋"/>
          <w:color w:val="000000"/>
          <w:sz w:val="36"/>
          <w:szCs w:val="36"/>
        </w:rPr>
      </w:pPr>
      <w:r>
        <w:rPr>
          <w:rFonts w:hint="eastAsia" w:ascii="仿宋" w:hAnsi="仿宋" w:eastAsia="仿宋" w:cs="仿宋"/>
          <w:color w:val="000000"/>
          <w:sz w:val="36"/>
          <w:szCs w:val="36"/>
        </w:rPr>
        <w:t>松桃苗族自治县中等职业学校</w:t>
      </w:r>
      <w:bookmarkStart w:id="0" w:name="_Toc18672"/>
      <w:bookmarkStart w:id="1" w:name="_Toc1489"/>
    </w:p>
    <w:bookmarkEnd w:id="0"/>
    <w:bookmarkEnd w:id="1"/>
    <w:p>
      <w:pPr>
        <w:rPr>
          <w:rFonts w:ascii="仿宋" w:hAnsi="仿宋" w:eastAsia="仿宋" w:cs="宋体"/>
          <w:b/>
          <w:bCs/>
          <w:sz w:val="44"/>
          <w:szCs w:val="44"/>
        </w:rPr>
        <w:sectPr>
          <w:headerReference r:id="rId3" w:type="default"/>
          <w:pgSz w:w="11906" w:h="16838"/>
          <w:pgMar w:top="1440" w:right="1440" w:bottom="1440" w:left="1440" w:header="851" w:footer="992" w:gutter="0"/>
          <w:pgNumType w:start="1"/>
          <w:cols w:space="425" w:num="1"/>
          <w:docGrid w:type="lines" w:linePitch="312" w:charSpace="0"/>
        </w:sectPr>
      </w:pPr>
    </w:p>
    <w:p>
      <w:pPr>
        <w:spacing w:line="400" w:lineRule="exact"/>
        <w:jc w:val="center"/>
        <w:rPr>
          <w:rFonts w:ascii="宋体" w:hAnsi="宋体"/>
          <w:b/>
          <w:bCs/>
          <w:sz w:val="36"/>
          <w:szCs w:val="36"/>
        </w:rPr>
      </w:pPr>
      <w:r>
        <w:rPr>
          <w:rFonts w:ascii="宋体" w:hAnsi="宋体"/>
          <w:b/>
          <w:bCs/>
          <w:sz w:val="36"/>
          <w:szCs w:val="36"/>
        </w:rPr>
        <w:t>目</w:t>
      </w:r>
      <w:r>
        <w:rPr>
          <w:rFonts w:hint="eastAsia" w:ascii="宋体" w:hAnsi="宋体"/>
          <w:b/>
          <w:bCs/>
          <w:sz w:val="36"/>
          <w:szCs w:val="36"/>
        </w:rPr>
        <w:t xml:space="preserve">  </w:t>
      </w:r>
      <w:r>
        <w:rPr>
          <w:rFonts w:ascii="宋体" w:hAnsi="宋体"/>
          <w:b/>
          <w:bCs/>
          <w:sz w:val="36"/>
          <w:szCs w:val="36"/>
        </w:rPr>
        <w:t>录</w:t>
      </w:r>
    </w:p>
    <w:p>
      <w:pPr>
        <w:spacing w:line="360" w:lineRule="auto"/>
        <w:rPr>
          <w:rStyle w:val="17"/>
          <w:rFonts w:ascii="黑体" w:hAnsi="黑体" w:eastAsia="黑体" w:cs="黑体"/>
          <w:color w:val="auto"/>
          <w:szCs w:val="21"/>
        </w:rPr>
      </w:pPr>
      <w:r>
        <w:rPr>
          <w:rFonts w:hint="eastAsia" w:ascii="黑体" w:hAnsi="黑体" w:eastAsia="黑体" w:cs="黑体"/>
        </w:rPr>
        <w:fldChar w:fldCharType="begin"/>
      </w:r>
      <w:r>
        <w:rPr>
          <w:rFonts w:hint="eastAsia" w:ascii="黑体" w:hAnsi="黑体" w:eastAsia="黑体" w:cs="黑体"/>
        </w:rPr>
        <w:instrText xml:space="preserve">TOC \o "1-2" \h \u </w:instrText>
      </w:r>
      <w:r>
        <w:rPr>
          <w:rFonts w:hint="eastAsia" w:ascii="黑体" w:hAnsi="黑体" w:eastAsia="黑体" w:cs="黑体"/>
        </w:rPr>
        <w:fldChar w:fldCharType="separate"/>
      </w:r>
      <w:r>
        <w:fldChar w:fldCharType="begin"/>
      </w:r>
      <w:r>
        <w:instrText xml:space="preserve"> HYPERLINK \l "_Toc355954817" </w:instrText>
      </w:r>
      <w:r>
        <w:fldChar w:fldCharType="separate"/>
      </w:r>
      <w:r>
        <w:rPr>
          <w:rFonts w:hint="eastAsia" w:ascii="黑体" w:hAnsi="黑体" w:eastAsia="黑体" w:cs="黑体"/>
        </w:rPr>
        <w:t>一、 专业名称以及代码</w:t>
      </w:r>
      <w:r>
        <w:rPr>
          <w:rFonts w:ascii="Arial" w:hAnsi="Arial" w:eastAsia="黑体" w:cs="Arial"/>
        </w:rPr>
        <w:t>……………</w:t>
      </w:r>
      <w:r>
        <w:rPr>
          <w:rStyle w:val="17"/>
          <w:rFonts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p>
    <w:p>
      <w:pPr>
        <w:spacing w:line="360" w:lineRule="auto"/>
        <w:rPr>
          <w:rStyle w:val="17"/>
          <w:rFonts w:ascii="黑体" w:hAnsi="黑体" w:eastAsia="黑体" w:cs="黑体"/>
          <w:color w:val="auto"/>
          <w:szCs w:val="21"/>
        </w:rPr>
      </w:pPr>
      <w:r>
        <w:fldChar w:fldCharType="begin"/>
      </w:r>
      <w:r>
        <w:instrText xml:space="preserve"> HYPERLINK \l "_Toc355954818" </w:instrText>
      </w:r>
      <w:r>
        <w:fldChar w:fldCharType="separate"/>
      </w:r>
      <w:r>
        <w:rPr>
          <w:rStyle w:val="17"/>
          <w:rFonts w:hint="eastAsia" w:ascii="黑体" w:hAnsi="黑体" w:eastAsia="黑体" w:cs="黑体"/>
          <w:color w:val="auto"/>
          <w:szCs w:val="21"/>
        </w:rPr>
        <w:t>二、 入学要求</w:t>
      </w:r>
      <w:r>
        <w:rPr>
          <w:rStyle w:val="17"/>
          <w:rFonts w:ascii="Arial" w:hAnsi="Arial" w:eastAsia="黑体" w:cs="Arial"/>
          <w:color w:val="auto"/>
          <w:szCs w:val="21"/>
        </w:rPr>
        <w:t>………………………………………………………………………………………………</w:t>
      </w:r>
      <w:r>
        <w:rPr>
          <w:rStyle w:val="17"/>
          <w:rFonts w:hint="eastAsia" w:ascii="黑体" w:hAnsi="黑体" w:eastAsia="黑体" w:cs="黑体"/>
          <w:color w:val="auto"/>
          <w:szCs w:val="21"/>
        </w:rPr>
        <w:t>1</w:t>
      </w:r>
      <w:r>
        <w:rPr>
          <w:rStyle w:val="17"/>
          <w:rFonts w:hint="eastAsia" w:ascii="黑体" w:hAnsi="黑体" w:eastAsia="黑体" w:cs="黑体"/>
          <w:color w:val="auto"/>
          <w:szCs w:val="21"/>
        </w:rPr>
        <w:fldChar w:fldCharType="end"/>
      </w:r>
    </w:p>
    <w:p>
      <w:pPr>
        <w:spacing w:line="360" w:lineRule="auto"/>
        <w:rPr>
          <w:rStyle w:val="17"/>
          <w:rFonts w:ascii="黑体" w:hAnsi="黑体" w:eastAsia="黑体" w:cs="黑体"/>
          <w:color w:val="auto"/>
          <w:szCs w:val="21"/>
        </w:rPr>
      </w:pPr>
      <w:r>
        <w:fldChar w:fldCharType="begin"/>
      </w:r>
      <w:r>
        <w:instrText xml:space="preserve"> HYPERLINK \l "_Toc355954819" </w:instrText>
      </w:r>
      <w:r>
        <w:fldChar w:fldCharType="separate"/>
      </w:r>
      <w:r>
        <w:rPr>
          <w:rStyle w:val="17"/>
          <w:rFonts w:hint="eastAsia" w:ascii="黑体" w:hAnsi="黑体" w:eastAsia="黑体" w:cs="黑体"/>
          <w:color w:val="auto"/>
          <w:szCs w:val="21"/>
        </w:rPr>
        <w:t>三、 修业年限</w:t>
      </w:r>
      <w:r>
        <w:rPr>
          <w:rStyle w:val="17"/>
          <w:rFonts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p>
    <w:p>
      <w:pPr>
        <w:spacing w:line="360" w:lineRule="auto"/>
        <w:rPr>
          <w:rStyle w:val="17"/>
          <w:rFonts w:ascii="黑体" w:hAnsi="黑体" w:eastAsia="黑体" w:cs="黑体"/>
          <w:color w:val="auto"/>
          <w:szCs w:val="21"/>
        </w:rPr>
      </w:pPr>
      <w:r>
        <w:fldChar w:fldCharType="begin"/>
      </w:r>
      <w:r>
        <w:instrText xml:space="preserve"> HYPERLINK \l "_Toc355954820" </w:instrText>
      </w:r>
      <w:r>
        <w:fldChar w:fldCharType="separate"/>
      </w:r>
      <w:r>
        <w:rPr>
          <w:rStyle w:val="17"/>
          <w:rFonts w:hint="eastAsia" w:ascii="黑体" w:hAnsi="黑体" w:eastAsia="黑体" w:cs="黑体"/>
          <w:color w:val="auto"/>
          <w:szCs w:val="21"/>
        </w:rPr>
        <w:t>四、 职业面向</w:t>
      </w:r>
      <w:r>
        <w:rPr>
          <w:rStyle w:val="17"/>
          <w:rFonts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p>
    <w:p>
      <w:pPr>
        <w:spacing w:line="360" w:lineRule="auto"/>
        <w:rPr>
          <w:rFonts w:ascii="黑体" w:hAnsi="黑体" w:eastAsia="黑体" w:cs="黑体"/>
        </w:rPr>
      </w:pPr>
      <w:r>
        <w:fldChar w:fldCharType="begin"/>
      </w:r>
      <w:r>
        <w:instrText xml:space="preserve"> HYPERLINK \l "_Toc355954821" </w:instrText>
      </w:r>
      <w:r>
        <w:fldChar w:fldCharType="separate"/>
      </w:r>
      <w:r>
        <w:rPr>
          <w:rFonts w:hint="eastAsia" w:ascii="黑体" w:hAnsi="黑体" w:eastAsia="黑体" w:cs="黑体"/>
        </w:rPr>
        <w:t>五、 培养目标与培养规格</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p>
    <w:p>
      <w:pPr>
        <w:spacing w:line="360" w:lineRule="auto"/>
        <w:ind w:firstLine="420" w:firstLineChars="200"/>
        <w:jc w:val="left"/>
        <w:rPr>
          <w:rFonts w:ascii="黑体" w:hAnsi="黑体" w:eastAsia="黑体" w:cs="黑体"/>
        </w:rPr>
      </w:pPr>
      <w:r>
        <w:fldChar w:fldCharType="begin"/>
      </w:r>
      <w:r>
        <w:instrText xml:space="preserve"> HYPERLINK \l "_Toc355954823" </w:instrText>
      </w:r>
      <w:r>
        <w:fldChar w:fldCharType="separate"/>
      </w:r>
      <w:r>
        <w:rPr>
          <w:rStyle w:val="17"/>
          <w:rFonts w:hint="eastAsia" w:ascii="楷体" w:hAnsi="楷体" w:eastAsia="楷体" w:cs="楷体"/>
          <w:b/>
          <w:bCs/>
          <w:color w:val="auto"/>
          <w:szCs w:val="21"/>
        </w:rPr>
        <w:t>（一） 培养目标</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p>
    <w:p>
      <w:pPr>
        <w:spacing w:line="360" w:lineRule="auto"/>
        <w:ind w:firstLine="420" w:firstLineChars="200"/>
        <w:rPr>
          <w:rFonts w:ascii="黑体" w:hAnsi="黑体" w:eastAsia="黑体" w:cs="黑体"/>
        </w:rPr>
      </w:pPr>
      <w:r>
        <w:fldChar w:fldCharType="begin"/>
      </w:r>
      <w:r>
        <w:instrText xml:space="preserve"> HYPERLINK \l "_Toc355954823" </w:instrText>
      </w:r>
      <w:r>
        <w:fldChar w:fldCharType="separate"/>
      </w:r>
      <w:r>
        <w:rPr>
          <w:rStyle w:val="17"/>
          <w:rFonts w:hint="eastAsia" w:ascii="楷体" w:hAnsi="楷体" w:eastAsia="楷体" w:cs="楷体"/>
          <w:b/>
          <w:bCs/>
          <w:color w:val="auto"/>
          <w:szCs w:val="21"/>
        </w:rPr>
        <w:t>（二） 培养规格</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p>
    <w:p>
      <w:pPr>
        <w:spacing w:line="360" w:lineRule="auto"/>
        <w:rPr>
          <w:rFonts w:ascii="黑体" w:hAnsi="黑体" w:eastAsia="黑体" w:cs="黑体"/>
        </w:rPr>
      </w:pPr>
      <w:r>
        <w:fldChar w:fldCharType="begin"/>
      </w:r>
      <w:r>
        <w:instrText xml:space="preserve"> HYPERLINK \l "_Toc355954822" </w:instrText>
      </w:r>
      <w:r>
        <w:fldChar w:fldCharType="separate"/>
      </w:r>
      <w:r>
        <w:rPr>
          <w:rStyle w:val="17"/>
          <w:rFonts w:hint="eastAsia" w:ascii="黑体" w:hAnsi="黑体" w:eastAsia="黑体" w:cs="黑体"/>
          <w:color w:val="auto"/>
          <w:szCs w:val="21"/>
        </w:rPr>
        <w:t>六、 课程设置及要求</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3</w:t>
      </w:r>
      <w:r>
        <w:rPr>
          <w:rFonts w:hint="eastAsia" w:ascii="黑体" w:hAnsi="黑体" w:eastAsia="黑体" w:cs="黑体"/>
        </w:rPr>
        <w:fldChar w:fldCharType="end"/>
      </w:r>
    </w:p>
    <w:p>
      <w:pPr>
        <w:spacing w:line="360" w:lineRule="auto"/>
        <w:ind w:firstLine="420" w:firstLineChars="200"/>
        <w:rPr>
          <w:rFonts w:ascii="黑体" w:hAnsi="黑体" w:eastAsia="黑体" w:cs="黑体"/>
        </w:rPr>
      </w:pPr>
      <w:r>
        <w:fldChar w:fldCharType="begin"/>
      </w:r>
      <w:r>
        <w:instrText xml:space="preserve"> HYPERLINK \l "_Toc355954823" </w:instrText>
      </w:r>
      <w:r>
        <w:fldChar w:fldCharType="separate"/>
      </w:r>
      <w:r>
        <w:rPr>
          <w:rStyle w:val="17"/>
          <w:rFonts w:hint="eastAsia" w:ascii="楷体" w:hAnsi="楷体" w:eastAsia="楷体" w:cs="楷体"/>
          <w:b/>
          <w:bCs/>
          <w:color w:val="auto"/>
          <w:szCs w:val="21"/>
        </w:rPr>
        <w:t>（一） 公共基础课程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4</w:t>
      </w:r>
      <w:r>
        <w:rPr>
          <w:rFonts w:hint="eastAsia" w:ascii="黑体" w:hAnsi="黑体" w:eastAsia="黑体" w:cs="黑体"/>
        </w:rPr>
        <w:fldChar w:fldCharType="end"/>
      </w:r>
    </w:p>
    <w:p>
      <w:pPr>
        <w:spacing w:line="360" w:lineRule="auto"/>
        <w:ind w:firstLine="420" w:firstLineChars="200"/>
        <w:rPr>
          <w:rFonts w:ascii="黑体" w:hAnsi="黑体" w:eastAsia="黑体" w:cs="黑体"/>
        </w:rPr>
      </w:pPr>
      <w:r>
        <w:fldChar w:fldCharType="begin"/>
      </w:r>
      <w:r>
        <w:instrText xml:space="preserve"> HYPERLINK \l "_Toc355954824" </w:instrText>
      </w:r>
      <w:r>
        <w:fldChar w:fldCharType="separate"/>
      </w:r>
      <w:r>
        <w:rPr>
          <w:rStyle w:val="17"/>
          <w:rFonts w:hint="eastAsia" w:ascii="楷体" w:hAnsi="楷体" w:eastAsia="楷体" w:cs="楷体"/>
          <w:b/>
          <w:bCs/>
          <w:color w:val="auto"/>
          <w:szCs w:val="21"/>
        </w:rPr>
        <w:t>（二）限定选修课程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6</w:t>
      </w:r>
      <w:r>
        <w:rPr>
          <w:rFonts w:hint="eastAsia" w:ascii="黑体" w:hAnsi="黑体" w:eastAsia="黑体" w:cs="黑体"/>
        </w:rPr>
        <w:fldChar w:fldCharType="end"/>
      </w:r>
    </w:p>
    <w:p>
      <w:pPr>
        <w:spacing w:line="360" w:lineRule="auto"/>
        <w:ind w:firstLine="420" w:firstLineChars="200"/>
        <w:jc w:val="left"/>
      </w:pPr>
      <w:r>
        <w:fldChar w:fldCharType="begin"/>
      </w:r>
      <w:r>
        <w:instrText xml:space="preserve"> HYPERLINK \l "_Toc355954823" </w:instrText>
      </w:r>
      <w:r>
        <w:fldChar w:fldCharType="separate"/>
      </w:r>
      <w:r>
        <w:rPr>
          <w:rStyle w:val="17"/>
          <w:rFonts w:hint="eastAsia" w:ascii="楷体" w:hAnsi="楷体" w:eastAsia="楷体" w:cs="楷体"/>
          <w:b/>
          <w:bCs/>
          <w:color w:val="auto"/>
          <w:szCs w:val="21"/>
        </w:rPr>
        <w:t>（三） 公共任意选修课程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rPr>
        <w:t>6</w:t>
      </w:r>
      <w:r>
        <w:rPr>
          <w:rFonts w:hint="eastAsia"/>
        </w:rPr>
        <w:fldChar w:fldCharType="end"/>
      </w:r>
    </w:p>
    <w:p>
      <w:pPr>
        <w:spacing w:line="360" w:lineRule="auto"/>
        <w:ind w:firstLine="422" w:firstLineChars="200"/>
        <w:jc w:val="left"/>
        <w:rPr>
          <w:rStyle w:val="17"/>
          <w:rFonts w:ascii="黑体" w:hAnsi="黑体" w:eastAsia="黑体" w:cs="黑体"/>
          <w:color w:val="auto"/>
          <w:szCs w:val="21"/>
        </w:rPr>
      </w:pPr>
      <w:r>
        <w:rPr>
          <w:rStyle w:val="17"/>
          <w:rFonts w:hint="eastAsia" w:ascii="楷体" w:hAnsi="楷体" w:eastAsia="楷体" w:cs="楷体"/>
          <w:b/>
          <w:bCs/>
          <w:color w:val="auto"/>
          <w:szCs w:val="21"/>
        </w:rPr>
        <w:t>（四）专业基础课程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黑体" w:hAnsi="黑体" w:eastAsia="黑体" w:cs="黑体"/>
          <w:color w:val="auto"/>
          <w:szCs w:val="21"/>
        </w:rPr>
        <w:t>7</w:t>
      </w:r>
    </w:p>
    <w:p>
      <w:pPr>
        <w:spacing w:line="360" w:lineRule="auto"/>
        <w:ind w:firstLine="422" w:firstLineChars="200"/>
        <w:jc w:val="left"/>
        <w:rPr>
          <w:rStyle w:val="17"/>
          <w:rFonts w:ascii="黑体" w:hAnsi="黑体" w:eastAsia="黑体" w:cs="黑体"/>
          <w:color w:val="auto"/>
          <w:szCs w:val="21"/>
        </w:rPr>
      </w:pPr>
      <w:r>
        <w:rPr>
          <w:rStyle w:val="17"/>
          <w:rFonts w:hint="eastAsia" w:ascii="楷体" w:hAnsi="楷体" w:eastAsia="楷体" w:cs="楷体"/>
          <w:b/>
          <w:bCs/>
          <w:color w:val="auto"/>
          <w:szCs w:val="21"/>
        </w:rPr>
        <w:t>（五）专业核心课程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黑体" w:hAnsi="黑体" w:eastAsia="黑体" w:cs="黑体"/>
          <w:color w:val="auto"/>
          <w:szCs w:val="21"/>
        </w:rPr>
        <w:t>8</w:t>
      </w:r>
    </w:p>
    <w:p>
      <w:pPr>
        <w:spacing w:line="360" w:lineRule="auto"/>
        <w:ind w:firstLine="422" w:firstLineChars="200"/>
        <w:jc w:val="left"/>
        <w:rPr>
          <w:rStyle w:val="17"/>
          <w:rFonts w:ascii="黑体" w:hAnsi="黑体" w:eastAsia="黑体" w:cs="黑体"/>
          <w:color w:val="auto"/>
          <w:szCs w:val="21"/>
        </w:rPr>
      </w:pPr>
      <w:r>
        <w:rPr>
          <w:rStyle w:val="17"/>
          <w:rFonts w:hint="eastAsia" w:ascii="楷体" w:hAnsi="楷体" w:eastAsia="楷体" w:cs="楷体"/>
          <w:b/>
          <w:bCs/>
          <w:color w:val="auto"/>
          <w:szCs w:val="21"/>
        </w:rPr>
        <w:t>（六）专业拓展课程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黑体" w:hAnsi="黑体" w:eastAsia="黑体" w:cs="黑体"/>
          <w:color w:val="auto"/>
          <w:szCs w:val="21"/>
        </w:rPr>
        <w:t>8</w:t>
      </w:r>
    </w:p>
    <w:p>
      <w:pPr>
        <w:spacing w:line="360" w:lineRule="auto"/>
        <w:ind w:firstLine="422" w:firstLineChars="200"/>
        <w:rPr>
          <w:rStyle w:val="17"/>
          <w:rFonts w:ascii="黑体" w:hAnsi="黑体" w:eastAsia="黑体" w:cs="黑体"/>
          <w:color w:val="auto"/>
          <w:szCs w:val="21"/>
        </w:rPr>
      </w:pPr>
      <w:r>
        <w:rPr>
          <w:rStyle w:val="17"/>
          <w:rFonts w:hint="eastAsia" w:ascii="楷体" w:hAnsi="楷体" w:eastAsia="楷体" w:cs="楷体"/>
          <w:b/>
          <w:bCs/>
          <w:color w:val="auto"/>
          <w:szCs w:val="21"/>
        </w:rPr>
        <w:t>（七）专业方向课程</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黑体" w:hAnsi="黑体" w:eastAsia="黑体" w:cs="黑体"/>
          <w:color w:val="auto"/>
          <w:szCs w:val="21"/>
        </w:rPr>
        <w:t>9</w:t>
      </w:r>
    </w:p>
    <w:p>
      <w:pPr>
        <w:spacing w:line="360" w:lineRule="auto"/>
        <w:ind w:firstLine="422" w:firstLineChars="200"/>
        <w:rPr>
          <w:rFonts w:eastAsia="黑体"/>
        </w:rPr>
      </w:pPr>
      <w:r>
        <w:rPr>
          <w:rStyle w:val="17"/>
          <w:rFonts w:hint="eastAsia" w:ascii="楷体" w:hAnsi="楷体" w:eastAsia="楷体" w:cs="楷体"/>
          <w:b/>
          <w:bCs/>
          <w:color w:val="auto"/>
          <w:szCs w:val="21"/>
        </w:rPr>
        <w:t>（八）实践性教学环节</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黑体" w:hAnsi="黑体" w:eastAsia="黑体" w:cs="黑体"/>
          <w:color w:val="auto"/>
          <w:szCs w:val="21"/>
        </w:rPr>
        <w:t>10</w:t>
      </w:r>
    </w:p>
    <w:p>
      <w:pPr>
        <w:spacing w:line="360" w:lineRule="auto"/>
        <w:rPr>
          <w:rStyle w:val="17"/>
          <w:rFonts w:ascii="黑体" w:hAnsi="黑体" w:eastAsia="黑体" w:cs="黑体"/>
          <w:color w:val="auto"/>
          <w:szCs w:val="21"/>
        </w:rPr>
      </w:pPr>
      <w:r>
        <w:fldChar w:fldCharType="begin"/>
      </w:r>
      <w:r>
        <w:instrText xml:space="preserve"> HYPERLINK \l "_Toc355954825" </w:instrText>
      </w:r>
      <w:r>
        <w:fldChar w:fldCharType="separate"/>
      </w:r>
      <w:r>
        <w:rPr>
          <w:rStyle w:val="17"/>
          <w:rFonts w:hint="eastAsia" w:ascii="黑体" w:hAnsi="黑体" w:eastAsia="黑体" w:cs="黑体"/>
          <w:color w:val="auto"/>
          <w:szCs w:val="21"/>
        </w:rPr>
        <w:t>七、 教学进程总体安排</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Arial" w:hAnsi="Arial" w:eastAsia="黑体" w:cs="Arial"/>
          <w:color w:val="auto"/>
          <w:szCs w:val="21"/>
        </w:rPr>
        <w:fldChar w:fldCharType="end"/>
      </w:r>
      <w:r>
        <w:rPr>
          <w:rStyle w:val="17"/>
          <w:rFonts w:hint="eastAsia" w:ascii="黑体" w:hAnsi="黑体" w:eastAsia="黑体" w:cs="黑体"/>
          <w:color w:val="auto"/>
          <w:szCs w:val="21"/>
        </w:rPr>
        <w:t>11</w:t>
      </w:r>
    </w:p>
    <w:p>
      <w:pPr>
        <w:spacing w:line="360" w:lineRule="auto"/>
        <w:ind w:firstLine="420" w:firstLineChars="200"/>
        <w:rPr>
          <w:rFonts w:ascii="黑体" w:hAnsi="黑体" w:eastAsia="黑体" w:cs="黑体"/>
        </w:rPr>
      </w:pPr>
      <w:r>
        <w:fldChar w:fldCharType="begin"/>
      </w:r>
      <w:r>
        <w:instrText xml:space="preserve"> HYPERLINK \l "_Toc355954826" </w:instrText>
      </w:r>
      <w:r>
        <w:fldChar w:fldCharType="separate"/>
      </w:r>
      <w:r>
        <w:rPr>
          <w:rStyle w:val="17"/>
          <w:rFonts w:hint="eastAsia" w:ascii="楷体" w:hAnsi="楷体" w:eastAsia="楷体" w:cs="楷体"/>
          <w:b/>
          <w:bCs/>
          <w:color w:val="auto"/>
          <w:szCs w:val="21"/>
        </w:rPr>
        <w:t>（一）总体要求</w:t>
      </w:r>
      <w:r>
        <w:rPr>
          <w:rStyle w:val="17"/>
          <w:rFonts w:ascii="Arial" w:hAnsi="Arial" w:eastAsia="黑体" w:cs="Arial"/>
          <w:color w:val="auto"/>
          <w:szCs w:val="21"/>
        </w:rPr>
        <w:t>………………………………………………………………</w:t>
      </w:r>
      <w:r>
        <w:rPr>
          <w:rStyle w:val="17"/>
          <w:rFonts w:hint="eastAsia" w:ascii="Arial" w:hAnsi="Arial" w:eastAsia="黑体" w:cs="Arial"/>
          <w:color w:val="auto"/>
          <w:szCs w:val="21"/>
        </w:rPr>
        <w:t>..................................</w:t>
      </w:r>
      <w:r>
        <w:rPr>
          <w:rStyle w:val="17"/>
          <w:rFonts w:hint="eastAsia" w:ascii="Arial" w:hAnsi="Arial" w:eastAsia="黑体" w:cs="Arial"/>
          <w:color w:val="auto"/>
          <w:szCs w:val="21"/>
        </w:rPr>
        <w:fldChar w:fldCharType="end"/>
      </w:r>
      <w:r>
        <w:rPr>
          <w:rFonts w:hint="eastAsia" w:ascii="黑体" w:hAnsi="黑体" w:eastAsia="黑体" w:cs="黑体"/>
        </w:rPr>
        <w:t>11</w:t>
      </w:r>
    </w:p>
    <w:p>
      <w:pPr>
        <w:spacing w:line="360" w:lineRule="auto"/>
        <w:ind w:firstLine="420" w:firstLineChars="200"/>
        <w:rPr>
          <w:rFonts w:ascii="黑体" w:hAnsi="黑体" w:eastAsia="黑体" w:cs="黑体"/>
        </w:rPr>
      </w:pPr>
      <w:r>
        <w:fldChar w:fldCharType="begin"/>
      </w:r>
      <w:r>
        <w:instrText xml:space="preserve"> HYPERLINK \l "_Toc355954827" </w:instrText>
      </w:r>
      <w:r>
        <w:fldChar w:fldCharType="separate"/>
      </w:r>
      <w:r>
        <w:rPr>
          <w:rStyle w:val="17"/>
          <w:rFonts w:hint="eastAsia" w:ascii="楷体" w:hAnsi="楷体" w:eastAsia="楷体" w:cs="楷体"/>
          <w:b/>
          <w:bCs/>
          <w:color w:val="auto"/>
          <w:szCs w:val="21"/>
        </w:rPr>
        <w:t>（二）教学进度安排</w:t>
      </w:r>
      <w:r>
        <w:rPr>
          <w:rStyle w:val="17"/>
          <w:rFonts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t>1</w:t>
      </w:r>
    </w:p>
    <w:p>
      <w:pPr>
        <w:spacing w:line="360" w:lineRule="auto"/>
        <w:rPr>
          <w:rFonts w:ascii="黑体" w:hAnsi="黑体" w:eastAsia="黑体" w:cs="黑体"/>
        </w:rPr>
      </w:pPr>
      <w:r>
        <w:fldChar w:fldCharType="begin"/>
      </w:r>
      <w:r>
        <w:instrText xml:space="preserve"> HYPERLINK \l "_Toc355954829" </w:instrText>
      </w:r>
      <w:r>
        <w:fldChar w:fldCharType="separate"/>
      </w:r>
      <w:r>
        <w:rPr>
          <w:rStyle w:val="17"/>
          <w:rFonts w:hint="eastAsia" w:ascii="黑体" w:hAnsi="黑体" w:eastAsia="黑体" w:cs="黑体"/>
          <w:color w:val="auto"/>
          <w:szCs w:val="21"/>
        </w:rPr>
        <w:t>八、 实施保障</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t>7</w:t>
      </w:r>
    </w:p>
    <w:p>
      <w:pPr>
        <w:spacing w:line="360" w:lineRule="auto"/>
        <w:ind w:firstLine="420" w:firstLineChars="200"/>
        <w:rPr>
          <w:rFonts w:ascii="黑体" w:hAnsi="黑体" w:eastAsia="黑体" w:cs="黑体"/>
        </w:rPr>
      </w:pPr>
      <w:r>
        <w:fldChar w:fldCharType="begin"/>
      </w:r>
      <w:r>
        <w:instrText xml:space="preserve"> HYPERLINK \l "_Toc355954830" </w:instrText>
      </w:r>
      <w:r>
        <w:fldChar w:fldCharType="separate"/>
      </w:r>
      <w:r>
        <w:rPr>
          <w:rStyle w:val="17"/>
          <w:rFonts w:hint="eastAsia" w:ascii="楷体" w:hAnsi="楷体" w:eastAsia="楷体" w:cs="楷体"/>
          <w:b/>
          <w:bCs/>
          <w:color w:val="auto"/>
          <w:szCs w:val="21"/>
        </w:rPr>
        <w:t>（一） 师资要求</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t>7</w:t>
      </w:r>
    </w:p>
    <w:p>
      <w:pPr>
        <w:spacing w:line="360" w:lineRule="auto"/>
        <w:ind w:firstLine="420" w:firstLineChars="200"/>
        <w:rPr>
          <w:rFonts w:ascii="黑体" w:hAnsi="黑体" w:eastAsia="黑体" w:cs="黑体"/>
        </w:rPr>
      </w:pPr>
      <w:r>
        <w:fldChar w:fldCharType="begin"/>
      </w:r>
      <w:r>
        <w:instrText xml:space="preserve"> HYPERLINK \l "_Toc355954831" </w:instrText>
      </w:r>
      <w:r>
        <w:fldChar w:fldCharType="separate"/>
      </w:r>
      <w:r>
        <w:rPr>
          <w:rStyle w:val="17"/>
          <w:rFonts w:hint="eastAsia" w:ascii="楷体" w:hAnsi="楷体" w:eastAsia="楷体" w:cs="楷体"/>
          <w:b/>
          <w:bCs/>
          <w:color w:val="auto"/>
          <w:szCs w:val="21"/>
        </w:rPr>
        <w:t>（二）教学设施</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t>9</w:t>
      </w:r>
    </w:p>
    <w:p>
      <w:pPr>
        <w:spacing w:line="360" w:lineRule="auto"/>
        <w:ind w:firstLine="420" w:firstLineChars="200"/>
        <w:rPr>
          <w:rFonts w:ascii="黑体" w:hAnsi="黑体" w:eastAsia="黑体" w:cs="黑体"/>
        </w:rPr>
      </w:pPr>
      <w:r>
        <w:fldChar w:fldCharType="begin"/>
      </w:r>
      <w:r>
        <w:instrText xml:space="preserve"> HYPERLINK \l "_Toc355954832" </w:instrText>
      </w:r>
      <w:r>
        <w:fldChar w:fldCharType="separate"/>
      </w:r>
      <w:r>
        <w:rPr>
          <w:rStyle w:val="17"/>
          <w:rFonts w:hint="eastAsia" w:ascii="楷体" w:hAnsi="楷体" w:eastAsia="楷体" w:cs="楷体"/>
          <w:b/>
          <w:bCs/>
          <w:color w:val="auto"/>
          <w:szCs w:val="21"/>
        </w:rPr>
        <w:t>（三）教学资源</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5</w:t>
      </w:r>
    </w:p>
    <w:p>
      <w:pPr>
        <w:spacing w:line="360" w:lineRule="auto"/>
        <w:ind w:firstLine="420" w:firstLineChars="200"/>
        <w:rPr>
          <w:rFonts w:ascii="黑体" w:hAnsi="黑体" w:eastAsia="黑体" w:cs="黑体"/>
        </w:rPr>
      </w:pPr>
      <w:r>
        <w:fldChar w:fldCharType="begin"/>
      </w:r>
      <w:r>
        <w:instrText xml:space="preserve"> HYPERLINK \l "_Toc355954833" </w:instrText>
      </w:r>
      <w:r>
        <w:fldChar w:fldCharType="separate"/>
      </w:r>
      <w:r>
        <w:rPr>
          <w:rStyle w:val="17"/>
          <w:rFonts w:hint="eastAsia" w:ascii="楷体" w:hAnsi="楷体" w:eastAsia="楷体" w:cs="楷体"/>
          <w:b/>
          <w:bCs/>
          <w:color w:val="auto"/>
          <w:szCs w:val="21"/>
        </w:rPr>
        <w:t>（四）教学方法</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7</w:t>
      </w:r>
    </w:p>
    <w:p>
      <w:pPr>
        <w:spacing w:line="360" w:lineRule="auto"/>
        <w:ind w:firstLine="420" w:firstLineChars="200"/>
        <w:rPr>
          <w:rFonts w:ascii="黑体" w:hAnsi="黑体" w:eastAsia="黑体" w:cs="黑体"/>
        </w:rPr>
      </w:pPr>
      <w:r>
        <w:fldChar w:fldCharType="begin"/>
      </w:r>
      <w:r>
        <w:instrText xml:space="preserve"> HYPERLINK \l "_Toc355954834" </w:instrText>
      </w:r>
      <w:r>
        <w:fldChar w:fldCharType="separate"/>
      </w:r>
      <w:r>
        <w:rPr>
          <w:rStyle w:val="17"/>
          <w:rFonts w:hint="eastAsia" w:ascii="楷体" w:hAnsi="楷体" w:eastAsia="楷体" w:cs="楷体"/>
          <w:b/>
          <w:bCs/>
          <w:color w:val="auto"/>
          <w:szCs w:val="21"/>
        </w:rPr>
        <w:t>（五）学习评价</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8</w:t>
      </w:r>
    </w:p>
    <w:p>
      <w:pPr>
        <w:spacing w:line="360" w:lineRule="auto"/>
        <w:ind w:firstLine="420" w:firstLineChars="200"/>
        <w:rPr>
          <w:rFonts w:ascii="黑体" w:hAnsi="黑体" w:eastAsia="黑体" w:cs="黑体"/>
        </w:rPr>
      </w:pPr>
      <w:r>
        <w:fldChar w:fldCharType="begin"/>
      </w:r>
      <w:r>
        <w:instrText xml:space="preserve"> HYPERLINK \l "_Toc355954835" </w:instrText>
      </w:r>
      <w:r>
        <w:fldChar w:fldCharType="separate"/>
      </w:r>
      <w:r>
        <w:rPr>
          <w:rStyle w:val="17"/>
          <w:rFonts w:hint="eastAsia" w:ascii="楷体" w:hAnsi="楷体" w:eastAsia="楷体" w:cs="楷体"/>
          <w:b/>
          <w:bCs/>
          <w:color w:val="auto"/>
          <w:szCs w:val="21"/>
        </w:rPr>
        <w:t>（六）质量管理</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9</w:t>
      </w:r>
    </w:p>
    <w:p>
      <w:pPr>
        <w:spacing w:line="360" w:lineRule="auto"/>
        <w:rPr>
          <w:rFonts w:ascii="黑体" w:hAnsi="黑体" w:eastAsia="黑体" w:cs="黑体"/>
        </w:rPr>
      </w:pPr>
      <w:r>
        <w:fldChar w:fldCharType="begin"/>
      </w:r>
      <w:r>
        <w:instrText xml:space="preserve"> HYPERLINK \l "_Toc355954836" </w:instrText>
      </w:r>
      <w:r>
        <w:fldChar w:fldCharType="separate"/>
      </w:r>
      <w:r>
        <w:rPr>
          <w:rStyle w:val="17"/>
          <w:rFonts w:hint="eastAsia" w:ascii="黑体" w:hAnsi="黑体" w:eastAsia="黑体" w:cs="黑体"/>
          <w:color w:val="auto"/>
          <w:szCs w:val="21"/>
        </w:rPr>
        <w:t>九、 毕业要求</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9</w:t>
      </w:r>
    </w:p>
    <w:p>
      <w:pPr>
        <w:spacing w:line="360" w:lineRule="auto"/>
        <w:rPr>
          <w:rFonts w:ascii="黑体" w:hAnsi="黑体" w:eastAsia="黑体" w:cs="黑体"/>
        </w:rPr>
      </w:pPr>
      <w:r>
        <w:fldChar w:fldCharType="begin"/>
      </w:r>
      <w:r>
        <w:instrText xml:space="preserve"> HYPERLINK \l "_Toc355954837" </w:instrText>
      </w:r>
      <w:r>
        <w:fldChar w:fldCharType="separate"/>
      </w:r>
      <w:r>
        <w:rPr>
          <w:rStyle w:val="17"/>
          <w:rFonts w:hint="eastAsia" w:ascii="黑体" w:hAnsi="黑体" w:eastAsia="黑体" w:cs="黑体"/>
          <w:color w:val="auto"/>
          <w:szCs w:val="21"/>
        </w:rPr>
        <w:t>十、 附录</w:t>
      </w:r>
      <w:r>
        <w:rPr>
          <w:rStyle w:val="17"/>
          <w:rFonts w:ascii="Arial" w:hAnsi="Arial" w:eastAsia="黑体" w:cs="Arial"/>
          <w:color w:val="auto"/>
          <w:szCs w:val="21"/>
        </w:rPr>
        <w:t>………………………………………………………………………………………………</w:t>
      </w:r>
      <w:r>
        <w:rPr>
          <w:rStyle w:val="17"/>
          <w:rFonts w:hint="eastAsia" w:ascii="Arial" w:hAnsi="Arial" w:eastAsia="黑体" w:cs="Arial"/>
          <w:color w:val="auto"/>
          <w:szCs w:val="21"/>
        </w:rPr>
        <w:t>.......</w:t>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t>9</w:t>
      </w:r>
    </w:p>
    <w:p>
      <w:pPr>
        <w:spacing w:line="360" w:lineRule="auto"/>
        <w:rPr>
          <w:rFonts w:ascii="黑体" w:hAnsi="黑体" w:eastAsia="黑体" w:cs="黑体"/>
        </w:rPr>
        <w:sectPr>
          <w:pgSz w:w="11906" w:h="16838"/>
          <w:pgMar w:top="1440" w:right="1440" w:bottom="1440" w:left="1440" w:header="851" w:footer="992" w:gutter="0"/>
          <w:pgNumType w:start="1"/>
          <w:cols w:space="425" w:num="1"/>
          <w:docGrid w:type="lines" w:linePitch="312" w:charSpace="0"/>
        </w:sectPr>
      </w:pPr>
      <w:r>
        <w:rPr>
          <w:rFonts w:hint="eastAsia" w:ascii="黑体" w:hAnsi="黑体" w:eastAsia="黑体" w:cs="黑体"/>
        </w:rPr>
        <w:fldChar w:fldCharType="end"/>
      </w:r>
    </w:p>
    <w:p>
      <w:pPr>
        <w:spacing w:line="480" w:lineRule="exact"/>
        <w:ind w:firstLine="883" w:firstLineChars="200"/>
        <w:jc w:val="center"/>
        <w:rPr>
          <w:rFonts w:eastAsia="仿宋"/>
          <w:b/>
          <w:bCs/>
          <w:sz w:val="44"/>
          <w:szCs w:val="44"/>
        </w:rPr>
      </w:pPr>
      <w:r>
        <w:rPr>
          <w:rFonts w:hint="eastAsia" w:eastAsia="仿宋"/>
          <w:b/>
          <w:bCs/>
          <w:sz w:val="44"/>
          <w:szCs w:val="44"/>
        </w:rPr>
        <w:t>松桃苗族自治县中等职业学校</w:t>
      </w:r>
    </w:p>
    <w:p>
      <w:pPr>
        <w:spacing w:line="480" w:lineRule="exact"/>
        <w:ind w:firstLine="883" w:firstLineChars="200"/>
        <w:jc w:val="center"/>
        <w:rPr>
          <w:rFonts w:eastAsia="仿宋"/>
          <w:b/>
          <w:bCs/>
          <w:sz w:val="44"/>
          <w:szCs w:val="44"/>
        </w:rPr>
      </w:pPr>
      <w:r>
        <w:rPr>
          <w:rFonts w:hint="eastAsia" w:eastAsia="仿宋"/>
          <w:b/>
          <w:bCs/>
          <w:sz w:val="44"/>
          <w:szCs w:val="44"/>
        </w:rPr>
        <w:t>《休闲农业生产与经营专业》人才培养方案</w:t>
      </w:r>
    </w:p>
    <w:p>
      <w:pPr>
        <w:pStyle w:val="24"/>
        <w:spacing w:line="520" w:lineRule="exact"/>
        <w:ind w:firstLine="0" w:firstLineChars="0"/>
        <w:rPr>
          <w:rFonts w:ascii="仿宋" w:hAnsi="仿宋" w:eastAsia="仿宋" w:cs="??-GB2312"/>
          <w:bCs/>
          <w:sz w:val="32"/>
          <w:szCs w:val="32"/>
        </w:rPr>
      </w:pPr>
      <w:bookmarkStart w:id="2" w:name="_Toc2656"/>
      <w:bookmarkStart w:id="3" w:name="_Toc30074"/>
    </w:p>
    <w:p>
      <w:pPr>
        <w:pStyle w:val="2"/>
        <w:spacing w:beforeLines="100" w:after="0" w:line="480" w:lineRule="exact"/>
        <w:jc w:val="left"/>
        <w:rPr>
          <w:rFonts w:eastAsia="黑体"/>
          <w:b w:val="0"/>
          <w:sz w:val="32"/>
          <w:szCs w:val="24"/>
        </w:rPr>
      </w:pPr>
      <w:r>
        <w:rPr>
          <w:rFonts w:hint="eastAsia" w:eastAsia="黑体"/>
          <w:b w:val="0"/>
          <w:sz w:val="32"/>
          <w:szCs w:val="24"/>
        </w:rPr>
        <w:t>一、专业名称与专业代码</w:t>
      </w:r>
    </w:p>
    <w:p>
      <w:pPr>
        <w:spacing w:line="480" w:lineRule="exact"/>
        <w:ind w:firstLine="280" w:firstLineChars="100"/>
        <w:outlineLvl w:val="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 专业名称：休闲农业生产与经营</w:t>
      </w:r>
    </w:p>
    <w:p>
      <w:pPr>
        <w:spacing w:line="480" w:lineRule="exact"/>
        <w:ind w:firstLine="280" w:firstLineChars="100"/>
        <w:outlineLvl w:val="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 专业代码：610118</w:t>
      </w:r>
    </w:p>
    <w:p>
      <w:pPr>
        <w:spacing w:line="520" w:lineRule="exact"/>
        <w:rPr>
          <w:rFonts w:eastAsia="黑体"/>
          <w:bCs/>
          <w:kern w:val="44"/>
          <w:sz w:val="32"/>
        </w:rPr>
      </w:pPr>
      <w:r>
        <w:rPr>
          <w:rFonts w:hint="eastAsia" w:eastAsia="黑体"/>
          <w:bCs/>
          <w:kern w:val="44"/>
          <w:sz w:val="32"/>
        </w:rPr>
        <w:t>二、入学要求</w:t>
      </w:r>
    </w:p>
    <w:p>
      <w:pPr>
        <w:spacing w:line="480" w:lineRule="exact"/>
        <w:ind w:firstLine="280" w:firstLineChars="100"/>
        <w:outlineLvl w:val="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初中毕业或具有同等学力者。</w:t>
      </w:r>
    </w:p>
    <w:p>
      <w:pPr>
        <w:spacing w:line="520" w:lineRule="exact"/>
        <w:rPr>
          <w:rFonts w:eastAsia="黑体"/>
          <w:bCs/>
          <w:kern w:val="44"/>
          <w:sz w:val="32"/>
        </w:rPr>
      </w:pPr>
      <w:r>
        <w:rPr>
          <w:rFonts w:hint="eastAsia" w:eastAsia="黑体"/>
          <w:bCs/>
          <w:kern w:val="44"/>
          <w:sz w:val="32"/>
        </w:rPr>
        <w:t>三、修业年限</w:t>
      </w:r>
    </w:p>
    <w:p>
      <w:pPr>
        <w:spacing w:line="480" w:lineRule="exact"/>
        <w:ind w:firstLine="280" w:firstLineChars="100"/>
        <w:outlineLvl w:val="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三年。</w:t>
      </w:r>
    </w:p>
    <w:p>
      <w:pPr>
        <w:spacing w:line="520" w:lineRule="exact"/>
        <w:rPr>
          <w:rFonts w:eastAsia="仿宋"/>
          <w:sz w:val="32"/>
        </w:rPr>
      </w:pPr>
      <w:r>
        <w:rPr>
          <w:rFonts w:hint="eastAsia" w:eastAsia="黑体"/>
          <w:bCs/>
          <w:kern w:val="44"/>
          <w:sz w:val="32"/>
        </w:rPr>
        <w:t>四、职业面向</w:t>
      </w:r>
    </w:p>
    <w:p>
      <w:pPr>
        <w:spacing w:line="520" w:lineRule="exact"/>
        <w:jc w:val="center"/>
        <w:rPr>
          <w:rFonts w:eastAsia="仿宋"/>
          <w:sz w:val="32"/>
        </w:rPr>
      </w:pPr>
      <w:r>
        <w:rPr>
          <w:rFonts w:hint="eastAsia" w:ascii="仿宋" w:hAnsi="仿宋" w:eastAsia="仿宋" w:cs="仿宋"/>
          <w:color w:val="000000"/>
          <w:sz w:val="24"/>
        </w:rPr>
        <w:t>表1：休闲农业生产与经营专业职业面向</w:t>
      </w:r>
    </w:p>
    <w:tbl>
      <w:tblPr>
        <w:tblStyle w:val="14"/>
        <w:tblW w:w="10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35"/>
        <w:gridCol w:w="1596"/>
        <w:gridCol w:w="1759"/>
        <w:gridCol w:w="1556"/>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04"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所属专业大类（代码）</w:t>
            </w:r>
          </w:p>
        </w:tc>
        <w:tc>
          <w:tcPr>
            <w:tcW w:w="1414"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所属专业类</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（代码）</w:t>
            </w:r>
          </w:p>
        </w:tc>
        <w:tc>
          <w:tcPr>
            <w:tcW w:w="1135"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对应</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行业</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（代码）</w:t>
            </w:r>
          </w:p>
        </w:tc>
        <w:tc>
          <w:tcPr>
            <w:tcW w:w="1596"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主要职业类别</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（代码）</w:t>
            </w:r>
          </w:p>
        </w:tc>
        <w:tc>
          <w:tcPr>
            <w:tcW w:w="1759"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主要岗位类别</w:t>
            </w:r>
          </w:p>
        </w:tc>
        <w:tc>
          <w:tcPr>
            <w:tcW w:w="1556"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职业资格证书</w:t>
            </w:r>
          </w:p>
        </w:tc>
        <w:tc>
          <w:tcPr>
            <w:tcW w:w="1176"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1+x职业技能证书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1404" w:type="dxa"/>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农林牧渔类（01）</w:t>
            </w:r>
          </w:p>
        </w:tc>
        <w:tc>
          <w:tcPr>
            <w:tcW w:w="1414" w:type="dxa"/>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休闲农业生产与经营专业（010300）</w:t>
            </w:r>
          </w:p>
        </w:tc>
        <w:tc>
          <w:tcPr>
            <w:tcW w:w="1135" w:type="dxa"/>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农业（01）</w:t>
            </w:r>
          </w:p>
          <w:p>
            <w:pPr>
              <w:spacing w:line="360" w:lineRule="exact"/>
              <w:jc w:val="center"/>
              <w:rPr>
                <w:rFonts w:ascii="仿宋" w:hAnsi="仿宋" w:eastAsia="仿宋" w:cs="仿宋"/>
                <w:color w:val="000000"/>
                <w:szCs w:val="21"/>
              </w:rPr>
            </w:pPr>
          </w:p>
        </w:tc>
        <w:tc>
          <w:tcPr>
            <w:tcW w:w="1596" w:type="dxa"/>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农艺工（5-01-01-01）</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蔬菜园艺工（5-01-03-01）</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花卉园艺工</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（5-01-03-02）</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植物保护人员</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（2-03-02-00）</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园艺技术人员</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（2-03-03-00）</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导游</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（4-04-02-01）</w:t>
            </w:r>
          </w:p>
          <w:p>
            <w:pPr>
              <w:spacing w:line="360" w:lineRule="exact"/>
              <w:jc w:val="center"/>
              <w:rPr>
                <w:rFonts w:ascii="仿宋" w:hAnsi="仿宋" w:eastAsia="仿宋" w:cs="仿宋"/>
                <w:color w:val="000000"/>
                <w:szCs w:val="21"/>
              </w:rPr>
            </w:pPr>
          </w:p>
        </w:tc>
        <w:tc>
          <w:tcPr>
            <w:tcW w:w="1759" w:type="dxa"/>
            <w:vAlign w:val="center"/>
          </w:tcPr>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1.农作物生产员</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2.植保员</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3.花卉园艺工</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4.果树园艺工</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5.导游员</w:t>
            </w:r>
          </w:p>
          <w:p>
            <w:pPr>
              <w:spacing w:line="360" w:lineRule="exact"/>
              <w:jc w:val="left"/>
              <w:rPr>
                <w:rFonts w:ascii="仿宋" w:hAnsi="仿宋" w:eastAsia="仿宋" w:cs="仿宋"/>
                <w:color w:val="000000"/>
                <w:szCs w:val="21"/>
              </w:rPr>
            </w:pPr>
          </w:p>
        </w:tc>
        <w:tc>
          <w:tcPr>
            <w:tcW w:w="1556" w:type="dxa"/>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1.农作物植保员</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（初级）</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2.导游资格证</w:t>
            </w: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（初级）</w:t>
            </w:r>
          </w:p>
        </w:tc>
        <w:tc>
          <w:tcPr>
            <w:tcW w:w="1176" w:type="dxa"/>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1.粮农食品安全评价（初级）</w:t>
            </w:r>
          </w:p>
          <w:p>
            <w:pPr>
              <w:spacing w:line="360" w:lineRule="exact"/>
              <w:jc w:val="center"/>
              <w:rPr>
                <w:rFonts w:ascii="仿宋" w:hAnsi="仿宋" w:eastAsia="仿宋" w:cs="仿宋"/>
                <w:color w:val="000000"/>
                <w:szCs w:val="21"/>
              </w:rPr>
            </w:pPr>
          </w:p>
        </w:tc>
      </w:tr>
    </w:tbl>
    <w:p>
      <w:pPr>
        <w:spacing w:line="360" w:lineRule="exact"/>
        <w:rPr>
          <w:rFonts w:eastAsia="黑体"/>
          <w:bCs/>
          <w:kern w:val="44"/>
          <w:sz w:val="32"/>
        </w:rPr>
      </w:pPr>
    </w:p>
    <w:p>
      <w:pPr>
        <w:spacing w:line="520" w:lineRule="exact"/>
        <w:rPr>
          <w:rFonts w:eastAsia="黑体"/>
          <w:bCs/>
          <w:kern w:val="44"/>
          <w:sz w:val="32"/>
        </w:rPr>
      </w:pPr>
      <w:r>
        <w:rPr>
          <w:rFonts w:hint="eastAsia" w:eastAsia="黑体"/>
          <w:bCs/>
          <w:kern w:val="44"/>
          <w:sz w:val="32"/>
        </w:rPr>
        <w:t>五、培养目标与培养规格</w:t>
      </w:r>
    </w:p>
    <w:p>
      <w:pPr>
        <w:spacing w:line="480" w:lineRule="exact"/>
        <w:rPr>
          <w:rFonts w:ascii="楷体" w:hAnsi="楷体" w:eastAsia="楷体" w:cs="楷体"/>
          <w:bCs/>
          <w:sz w:val="32"/>
          <w:szCs w:val="32"/>
        </w:rPr>
      </w:pPr>
      <w:r>
        <w:rPr>
          <w:rFonts w:hint="eastAsia" w:ascii="楷体" w:hAnsi="楷体" w:eastAsia="楷体" w:cs="楷体"/>
          <w:bCs/>
          <w:sz w:val="32"/>
          <w:szCs w:val="32"/>
        </w:rPr>
        <w:t>（一） 培养目标</w:t>
      </w:r>
    </w:p>
    <w:bookmarkEnd w:id="2"/>
    <w:bookmarkEnd w:id="3"/>
    <w:p>
      <w:pPr>
        <w:spacing w:line="480" w:lineRule="exact"/>
        <w:ind w:firstLine="560" w:firstLineChars="200"/>
        <w:rPr>
          <w:rFonts w:eastAsia="仿宋"/>
          <w:sz w:val="28"/>
          <w:szCs w:val="28"/>
        </w:rPr>
      </w:pPr>
      <w:bookmarkStart w:id="4" w:name="_Toc15976"/>
      <w:bookmarkStart w:id="5" w:name="_Toc1291"/>
      <w:r>
        <w:rPr>
          <w:rFonts w:hint="eastAsia" w:ascii="仿宋" w:hAnsi="仿宋" w:eastAsia="仿宋" w:cs="仿宋"/>
          <w:color w:val="000000" w:themeColor="text1"/>
          <w:sz w:val="28"/>
          <w:szCs w:val="28"/>
        </w:rPr>
        <w:t>本专业坚持党的教育方针，</w:t>
      </w:r>
      <w:r>
        <w:rPr>
          <w:rFonts w:hint="eastAsia" w:eastAsia="仿宋"/>
          <w:sz w:val="28"/>
          <w:szCs w:val="28"/>
        </w:rPr>
        <w:t>坚持立德树人，面向农业生态园、植物园、农业观光园、休闲农业园区等单位，  培养能够从事农作物生产员、植保员、花卉园艺工、果树园艺工、导游员等工作， 德智体美劳全面发展的高素质劳动者和技能型人才。</w:t>
      </w:r>
    </w:p>
    <w:p>
      <w:pPr>
        <w:spacing w:line="480" w:lineRule="exact"/>
        <w:rPr>
          <w:rFonts w:ascii="楷体" w:hAnsi="楷体" w:eastAsia="楷体" w:cs="楷体"/>
          <w:bCs/>
          <w:sz w:val="32"/>
          <w:szCs w:val="32"/>
        </w:rPr>
      </w:pPr>
      <w:r>
        <w:rPr>
          <w:rFonts w:hint="eastAsia" w:ascii="楷体" w:hAnsi="楷体" w:eastAsia="楷体" w:cs="楷体"/>
          <w:bCs/>
          <w:sz w:val="32"/>
          <w:szCs w:val="32"/>
        </w:rPr>
        <w:t>（二）培养规格</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1. 素质</w:t>
      </w:r>
    </w:p>
    <w:bookmarkEnd w:id="4"/>
    <w:bookmarkEnd w:id="5"/>
    <w:p>
      <w:pPr>
        <w:spacing w:line="480" w:lineRule="exact"/>
        <w:ind w:firstLine="560" w:firstLineChars="200"/>
        <w:rPr>
          <w:rFonts w:ascii="仿宋" w:hAnsi="仿宋" w:eastAsia="仿宋" w:cs="宋体"/>
          <w:sz w:val="28"/>
          <w:szCs w:val="28"/>
        </w:rPr>
      </w:pPr>
      <w:bookmarkStart w:id="6" w:name="_Toc381"/>
      <w:bookmarkStart w:id="7" w:name="_Toc18344"/>
      <w:r>
        <w:rPr>
          <w:rFonts w:hint="eastAsia" w:eastAsia="仿宋"/>
          <w:sz w:val="28"/>
          <w:szCs w:val="28"/>
        </w:rPr>
        <w:t>（</w:t>
      </w:r>
      <w:r>
        <w:rPr>
          <w:rFonts w:hint="eastAsia" w:ascii="仿宋" w:hAnsi="仿宋" w:eastAsia="仿宋" w:cs="宋体"/>
          <w:sz w:val="28"/>
          <w:szCs w:val="28"/>
        </w:rPr>
        <w:t>1）坚定拥护中国共产党领导和我国社会主义制度；</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（2）崇尚宪法、遵法守纪、崇德向善、诚实守信、尊重生命、热爱劳动；</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（3）具有良好的职业道德，能自觉遵守行业法规和企业规章制度</w:t>
      </w:r>
      <w:bookmarkStart w:id="8" w:name="_Toc31546"/>
      <w:bookmarkEnd w:id="8"/>
      <w:r>
        <w:rPr>
          <w:rFonts w:hint="eastAsia" w:ascii="仿宋" w:hAnsi="仿宋" w:eastAsia="仿宋" w:cs="宋体"/>
          <w:sz w:val="28"/>
          <w:szCs w:val="28"/>
        </w:rPr>
        <w:t>；</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（4）具有吃苦耐劳、踏实肯干、认真负责、勇于创新的职业精神</w:t>
      </w:r>
      <w:bookmarkStart w:id="9" w:name="_Toc28633"/>
      <w:bookmarkEnd w:id="9"/>
      <w:r>
        <w:rPr>
          <w:rFonts w:hint="eastAsia" w:ascii="仿宋" w:hAnsi="仿宋" w:eastAsia="仿宋" w:cs="宋体"/>
          <w:sz w:val="28"/>
          <w:szCs w:val="28"/>
        </w:rPr>
        <w:t>；</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（5）具有良好的服务意识与团队合作意识；</w:t>
      </w:r>
    </w:p>
    <w:p>
      <w:pPr>
        <w:spacing w:line="480" w:lineRule="exact"/>
        <w:ind w:firstLine="560" w:firstLineChars="200"/>
        <w:rPr>
          <w:rFonts w:ascii="仿宋" w:hAnsi="仿宋" w:eastAsia="仿宋" w:cs="宋体"/>
          <w:sz w:val="28"/>
          <w:szCs w:val="28"/>
        </w:rPr>
      </w:pPr>
      <w:bookmarkStart w:id="10" w:name="_Toc30760"/>
      <w:bookmarkEnd w:id="10"/>
      <w:bookmarkStart w:id="11" w:name="_Toc14224"/>
      <w:bookmarkEnd w:id="11"/>
      <w:bookmarkStart w:id="12" w:name="_Toc1000"/>
      <w:bookmarkEnd w:id="12"/>
      <w:r>
        <w:rPr>
          <w:rFonts w:hint="eastAsia" w:eastAsia="仿宋"/>
          <w:sz w:val="28"/>
          <w:szCs w:val="28"/>
        </w:rPr>
        <w:t>（</w:t>
      </w:r>
      <w:r>
        <w:rPr>
          <w:rFonts w:hint="eastAsia" w:ascii="仿宋" w:hAnsi="仿宋" w:eastAsia="仿宋" w:cs="宋体"/>
          <w:sz w:val="28"/>
          <w:szCs w:val="28"/>
        </w:rPr>
        <w:t>6）具有扎实的专业知识，能为当地农业的发展做贡献。</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2.知识</w:t>
      </w:r>
    </w:p>
    <w:p>
      <w:pPr>
        <w:spacing w:line="480" w:lineRule="exact"/>
        <w:ind w:firstLine="600" w:firstLineChars="200"/>
        <w:rPr>
          <w:rFonts w:ascii="宋体" w:hAnsi="宋体" w:cs="宋体"/>
          <w:sz w:val="30"/>
          <w:szCs w:val="30"/>
        </w:rPr>
      </w:pPr>
      <w:r>
        <w:rPr>
          <w:rFonts w:hint="eastAsia" w:eastAsia="仿宋"/>
          <w:sz w:val="30"/>
          <w:szCs w:val="30"/>
        </w:rPr>
        <w:t>（1）</w:t>
      </w:r>
      <w:r>
        <w:rPr>
          <w:rFonts w:hint="eastAsia" w:ascii="仿宋" w:hAnsi="仿宋" w:eastAsia="仿宋" w:cs="宋体"/>
          <w:sz w:val="30"/>
          <w:szCs w:val="30"/>
        </w:rPr>
        <w:t>文化知识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w:t>
      </w:r>
      <w:r>
        <w:rPr>
          <w:rFonts w:ascii="仿宋" w:hAnsi="仿宋" w:eastAsia="仿宋" w:cs="宋体"/>
          <w:sz w:val="28"/>
          <w:szCs w:val="28"/>
        </w:rPr>
        <w:t>①</w:t>
      </w:r>
      <w:r>
        <w:rPr>
          <w:rFonts w:hint="eastAsia" w:ascii="仿宋" w:hAnsi="仿宋" w:eastAsia="仿宋" w:cs="宋体"/>
          <w:sz w:val="28"/>
          <w:szCs w:val="28"/>
        </w:rPr>
        <w:t>掌握必备的思想政治理论、科学文化基础知识和中华优秀传统文化知识；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w:t>
      </w:r>
      <w:r>
        <w:rPr>
          <w:rFonts w:ascii="仿宋" w:hAnsi="仿宋" w:eastAsia="仿宋" w:cs="宋体"/>
          <w:sz w:val="28"/>
          <w:szCs w:val="28"/>
        </w:rPr>
        <w:t>②</w:t>
      </w:r>
      <w:r>
        <w:rPr>
          <w:rFonts w:hint="eastAsia" w:ascii="仿宋" w:hAnsi="仿宋" w:eastAsia="仿宋" w:cs="宋体"/>
          <w:sz w:val="28"/>
          <w:szCs w:val="28"/>
        </w:rPr>
        <w:t>熟悉与本专业相关的法律法规以及环境保护、安全消防等相关知识；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w:t>
      </w:r>
      <w:r>
        <w:rPr>
          <w:rFonts w:ascii="仿宋" w:hAnsi="仿宋" w:eastAsia="仿宋" w:cs="宋体"/>
          <w:sz w:val="28"/>
          <w:szCs w:val="28"/>
        </w:rPr>
        <w:t>③</w:t>
      </w:r>
      <w:r>
        <w:rPr>
          <w:rFonts w:hint="eastAsia" w:ascii="仿宋" w:hAnsi="仿宋" w:eastAsia="仿宋" w:cs="宋体"/>
          <w:sz w:val="28"/>
          <w:szCs w:val="28"/>
        </w:rPr>
        <w:t>具有良好的文化修养和审美能力，知识面宽，自学能力强。</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④具有发现问题、探究问题的能力。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⑤具有终生学习理念，能够不断学习新知识、新技能。</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⑥具备一定的外语的听、说、读、写能力。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⑦具有一定的应用文写作和运用能力。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⑧具有健全的心理素质、健康的体魄和良好的生活习惯。</w:t>
      </w:r>
    </w:p>
    <w:p>
      <w:pPr>
        <w:spacing w:line="480" w:lineRule="exact"/>
        <w:ind w:firstLine="600" w:firstLineChars="200"/>
        <w:rPr>
          <w:rFonts w:eastAsia="仿宋"/>
          <w:sz w:val="30"/>
          <w:szCs w:val="30"/>
        </w:rPr>
      </w:pPr>
      <w:r>
        <w:rPr>
          <w:rFonts w:hint="eastAsia" w:eastAsia="仿宋"/>
          <w:sz w:val="30"/>
          <w:szCs w:val="30"/>
        </w:rPr>
        <w:t>（2）专业知识</w:t>
      </w:r>
    </w:p>
    <w:p>
      <w:pPr>
        <w:spacing w:line="480" w:lineRule="exact"/>
        <w:ind w:left="800"/>
        <w:rPr>
          <w:rFonts w:ascii="仿宋" w:hAnsi="仿宋" w:eastAsia="仿宋" w:cs="宋体"/>
          <w:sz w:val="32"/>
          <w:szCs w:val="32"/>
        </w:rPr>
      </w:pPr>
      <w:r>
        <w:rPr>
          <w:rFonts w:ascii="仿宋" w:hAnsi="仿宋" w:eastAsia="仿宋" w:cs="仿宋"/>
          <w:sz w:val="28"/>
          <w:szCs w:val="28"/>
        </w:rPr>
        <w:t>①</w:t>
      </w:r>
      <w:r>
        <w:rPr>
          <w:rFonts w:hint="eastAsia" w:ascii="仿宋" w:hAnsi="仿宋" w:eastAsia="仿宋" w:cs="仿宋"/>
          <w:sz w:val="28"/>
          <w:szCs w:val="28"/>
        </w:rPr>
        <w:t xml:space="preserve"> </w:t>
      </w:r>
      <w:r>
        <w:rPr>
          <w:rFonts w:hint="eastAsia" w:ascii="仿宋" w:hAnsi="仿宋" w:eastAsia="仿宋" w:cs="宋体"/>
          <w:sz w:val="28"/>
          <w:szCs w:val="28"/>
        </w:rPr>
        <w:t>掌握观赏植物的育苗技术；</w:t>
      </w:r>
    </w:p>
    <w:bookmarkEnd w:id="6"/>
    <w:bookmarkEnd w:id="7"/>
    <w:p>
      <w:pPr>
        <w:tabs>
          <w:tab w:val="left" w:pos="787"/>
        </w:tabs>
        <w:spacing w:line="480" w:lineRule="exact"/>
        <w:ind w:firstLine="840" w:firstLineChars="300"/>
        <w:rPr>
          <w:rFonts w:ascii="仿宋" w:hAnsi="仿宋" w:eastAsia="仿宋" w:cs="宋体"/>
          <w:sz w:val="28"/>
          <w:szCs w:val="28"/>
        </w:rPr>
      </w:pPr>
      <w:bookmarkStart w:id="13" w:name="_Toc718"/>
      <w:bookmarkEnd w:id="13"/>
      <w:bookmarkStart w:id="14" w:name="_Toc23799"/>
      <w:bookmarkEnd w:id="14"/>
      <w:bookmarkStart w:id="15" w:name="_Toc3336"/>
      <w:bookmarkStart w:id="16" w:name="_Toc10045"/>
      <w:r>
        <w:rPr>
          <w:rFonts w:ascii="仿宋" w:hAnsi="仿宋" w:eastAsia="仿宋" w:cs="仿宋"/>
          <w:sz w:val="28"/>
          <w:szCs w:val="28"/>
        </w:rPr>
        <w:t>②</w:t>
      </w:r>
      <w:r>
        <w:rPr>
          <w:rFonts w:hint="eastAsia" w:ascii="仿宋" w:hAnsi="仿宋" w:eastAsia="仿宋" w:cs="仿宋"/>
          <w:sz w:val="28"/>
          <w:szCs w:val="28"/>
        </w:rPr>
        <w:t xml:space="preserve"> </w:t>
      </w:r>
      <w:r>
        <w:rPr>
          <w:rFonts w:hint="eastAsia" w:ascii="仿宋" w:hAnsi="仿宋" w:eastAsia="仿宋" w:cs="宋体"/>
          <w:sz w:val="28"/>
          <w:szCs w:val="28"/>
        </w:rPr>
        <w:t>掌握观赏植物的栽培技术；</w:t>
      </w:r>
    </w:p>
    <w:p>
      <w:pPr>
        <w:tabs>
          <w:tab w:val="left" w:pos="787"/>
        </w:tabs>
        <w:spacing w:line="480" w:lineRule="exact"/>
        <w:ind w:firstLine="840" w:firstLineChars="300"/>
        <w:rPr>
          <w:rFonts w:ascii="仿宋" w:hAnsi="仿宋" w:eastAsia="仿宋" w:cs="仿宋"/>
          <w:sz w:val="28"/>
          <w:szCs w:val="28"/>
        </w:rPr>
      </w:pPr>
      <w:r>
        <w:rPr>
          <w:rFonts w:ascii="仿宋" w:hAnsi="仿宋" w:eastAsia="仿宋" w:cs="仿宋"/>
          <w:sz w:val="28"/>
          <w:szCs w:val="28"/>
        </w:rPr>
        <w:t>③</w:t>
      </w:r>
      <w:r>
        <w:rPr>
          <w:rFonts w:hint="eastAsia" w:ascii="仿宋" w:hAnsi="仿宋" w:eastAsia="仿宋" w:cs="仿宋"/>
          <w:sz w:val="28"/>
          <w:szCs w:val="28"/>
        </w:rPr>
        <w:t xml:space="preserve"> 能熟悉识别各种观赏植物的种类；</w:t>
      </w:r>
    </w:p>
    <w:p>
      <w:pPr>
        <w:tabs>
          <w:tab w:val="left" w:pos="787"/>
        </w:tabs>
        <w:spacing w:line="480" w:lineRule="exact"/>
        <w:ind w:firstLine="840" w:firstLineChars="300"/>
        <w:rPr>
          <w:rFonts w:ascii="仿宋" w:hAnsi="仿宋" w:eastAsia="仿宋" w:cs="仿宋"/>
          <w:sz w:val="28"/>
          <w:szCs w:val="28"/>
        </w:rPr>
      </w:pPr>
      <w:r>
        <w:rPr>
          <w:rFonts w:hint="eastAsia" w:ascii="仿宋" w:hAnsi="仿宋" w:eastAsia="仿宋" w:cs="仿宋"/>
          <w:sz w:val="28"/>
          <w:szCs w:val="28"/>
        </w:rPr>
        <w:t>④ 具有土肥水管理能力；</w:t>
      </w:r>
    </w:p>
    <w:p>
      <w:pPr>
        <w:tabs>
          <w:tab w:val="left" w:pos="787"/>
        </w:tabs>
        <w:spacing w:line="480" w:lineRule="exact"/>
        <w:ind w:firstLine="840" w:firstLineChars="300"/>
        <w:rPr>
          <w:rFonts w:ascii="仿宋" w:hAnsi="仿宋" w:eastAsia="仿宋" w:cs="仿宋"/>
          <w:sz w:val="28"/>
          <w:szCs w:val="28"/>
        </w:rPr>
      </w:pPr>
      <w:r>
        <w:rPr>
          <w:rFonts w:hint="eastAsia" w:ascii="仿宋" w:hAnsi="仿宋" w:eastAsia="仿宋" w:cs="仿宋"/>
          <w:sz w:val="28"/>
          <w:szCs w:val="28"/>
        </w:rPr>
        <w:t>⑤ 能对观赏植物进行整形修剪，具有调节树体结构的能力；</w:t>
      </w:r>
    </w:p>
    <w:p>
      <w:pPr>
        <w:tabs>
          <w:tab w:val="left" w:pos="787"/>
          <w:tab w:val="center" w:pos="4513"/>
        </w:tabs>
        <w:spacing w:line="480" w:lineRule="exact"/>
        <w:ind w:firstLine="840" w:firstLineChars="300"/>
        <w:rPr>
          <w:rFonts w:ascii="仿宋" w:hAnsi="仿宋" w:eastAsia="仿宋" w:cs="宋体"/>
          <w:sz w:val="28"/>
          <w:szCs w:val="28"/>
        </w:rPr>
      </w:pPr>
      <w:r>
        <w:rPr>
          <w:rFonts w:hint="eastAsia" w:ascii="仿宋" w:hAnsi="仿宋" w:eastAsia="仿宋" w:cs="仿宋"/>
          <w:sz w:val="28"/>
          <w:szCs w:val="28"/>
        </w:rPr>
        <w:t>⑥ 具有识别和防治观赏植物</w:t>
      </w:r>
      <w:r>
        <w:rPr>
          <w:rFonts w:hint="eastAsia" w:ascii="仿宋" w:hAnsi="仿宋" w:eastAsia="仿宋" w:cs="仿宋"/>
          <w:sz w:val="28"/>
          <w:szCs w:val="28"/>
        </w:rPr>
        <w:tab/>
      </w:r>
      <w:r>
        <w:rPr>
          <w:rFonts w:hint="eastAsia" w:ascii="仿宋" w:hAnsi="仿宋" w:eastAsia="仿宋" w:cs="宋体"/>
          <w:sz w:val="28"/>
          <w:szCs w:val="28"/>
        </w:rPr>
        <w:t>病虫害的能力</w:t>
      </w:r>
      <w:bookmarkStart w:id="17" w:name="_Toc31843"/>
      <w:bookmarkEnd w:id="17"/>
      <w:r>
        <w:rPr>
          <w:rFonts w:hint="eastAsia" w:ascii="仿宋" w:hAnsi="仿宋" w:eastAsia="仿宋" w:cs="宋体"/>
          <w:sz w:val="28"/>
          <w:szCs w:val="28"/>
        </w:rPr>
        <w:t>；</w:t>
      </w:r>
    </w:p>
    <w:p>
      <w:pPr>
        <w:spacing w:line="480" w:lineRule="exact"/>
        <w:ind w:firstLine="840" w:firstLineChars="300"/>
        <w:rPr>
          <w:rFonts w:ascii="仿宋" w:hAnsi="仿宋" w:eastAsia="仿宋" w:cs="宋体"/>
          <w:sz w:val="28"/>
          <w:szCs w:val="28"/>
        </w:rPr>
      </w:pPr>
      <w:bookmarkStart w:id="18" w:name="_Toc21585"/>
      <w:bookmarkEnd w:id="18"/>
      <w:r>
        <w:rPr>
          <w:rFonts w:hint="eastAsia" w:ascii="仿宋" w:hAnsi="仿宋" w:eastAsia="仿宋" w:cs="仿宋"/>
          <w:sz w:val="28"/>
          <w:szCs w:val="28"/>
        </w:rPr>
        <w:t>⑦</w:t>
      </w:r>
      <w:r>
        <w:rPr>
          <w:rFonts w:hint="eastAsia" w:ascii="仿宋" w:hAnsi="仿宋" w:eastAsia="仿宋" w:cs="宋体"/>
          <w:sz w:val="28"/>
          <w:szCs w:val="28"/>
        </w:rPr>
        <w:t xml:space="preserve"> 具有识别和防治观赏植物病虫害的能力；</w:t>
      </w:r>
    </w:p>
    <w:bookmarkEnd w:id="15"/>
    <w:bookmarkEnd w:id="16"/>
    <w:p>
      <w:pPr>
        <w:spacing w:line="480" w:lineRule="exact"/>
        <w:ind w:firstLine="840" w:firstLineChars="300"/>
        <w:rPr>
          <w:rFonts w:ascii="仿宋" w:hAnsi="仿宋" w:eastAsia="仿宋" w:cs="宋体"/>
          <w:sz w:val="28"/>
          <w:szCs w:val="28"/>
        </w:rPr>
      </w:pPr>
      <w:bookmarkStart w:id="19" w:name="_Toc69"/>
      <w:bookmarkStart w:id="20" w:name="_Toc22042"/>
      <w:r>
        <w:rPr>
          <w:rFonts w:hint="eastAsia" w:ascii="仿宋" w:hAnsi="仿宋" w:eastAsia="仿宋" w:cs="仿宋"/>
          <w:sz w:val="28"/>
          <w:szCs w:val="28"/>
        </w:rPr>
        <w:t>⑧</w:t>
      </w:r>
      <w:r>
        <w:rPr>
          <w:rFonts w:hint="eastAsia" w:ascii="微软雅黑" w:hAnsi="微软雅黑" w:eastAsia="微软雅黑" w:cs="微软雅黑"/>
          <w:sz w:val="28"/>
          <w:szCs w:val="28"/>
        </w:rPr>
        <w:t xml:space="preserve"> </w:t>
      </w:r>
      <w:r>
        <w:rPr>
          <w:rFonts w:hint="eastAsia" w:ascii="仿宋" w:hAnsi="仿宋" w:eastAsia="仿宋" w:cs="宋体"/>
          <w:sz w:val="28"/>
          <w:szCs w:val="28"/>
        </w:rPr>
        <w:t>具备对农业观赏园区进行规划设计的能力；</w:t>
      </w:r>
    </w:p>
    <w:p>
      <w:pPr>
        <w:spacing w:line="480" w:lineRule="exact"/>
        <w:ind w:firstLine="840" w:firstLineChars="300"/>
        <w:rPr>
          <w:rFonts w:ascii="仿宋" w:hAnsi="仿宋" w:eastAsia="仿宋" w:cs="宋体"/>
          <w:sz w:val="28"/>
          <w:szCs w:val="28"/>
        </w:rPr>
      </w:pPr>
      <w:r>
        <w:rPr>
          <w:rFonts w:hint="eastAsia" w:ascii="仿宋" w:hAnsi="仿宋" w:eastAsia="仿宋" w:cs="宋体"/>
          <w:sz w:val="28"/>
          <w:szCs w:val="28"/>
        </w:rPr>
        <w:t>⑨</w:t>
      </w:r>
      <w:r>
        <w:rPr>
          <w:rFonts w:hint="eastAsia" w:ascii="微软雅黑" w:hAnsi="微软雅黑" w:eastAsia="微软雅黑" w:cs="微软雅黑"/>
          <w:sz w:val="28"/>
          <w:szCs w:val="28"/>
        </w:rPr>
        <w:t xml:space="preserve"> </w:t>
      </w:r>
      <w:r>
        <w:rPr>
          <w:rFonts w:hint="eastAsia" w:ascii="仿宋" w:hAnsi="仿宋" w:eastAsia="仿宋" w:cs="宋体"/>
          <w:sz w:val="28"/>
          <w:szCs w:val="28"/>
        </w:rPr>
        <w:t>具备对室内植物装饰进行设计的能力；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  ⑩ 具备对观光园区进行讲解的能力。</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3. 技能</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（1）具有探究学习、终身学习、分析问题和解决问题的能力；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（2）具有良好的语言、文字表达能力和沟通能力；</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（3）具有科学生产、规范操作、绿色环保、节约资源的意识；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（4）掌握主要观赏植物生理与栽培的基础知识；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（5）能运用现代农业设施进行主要观赏植物的栽培、管理与采摘、销售；</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（6）能识别园艺植物常见病虫害，并能根据病虫害发生发展规律进行防治；</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（7）初步掌握现代农业观光园区设计与建设的基础知识；</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（8）掌握观光农业导游的基础知识与基本技能。</w:t>
      </w:r>
      <w:bookmarkEnd w:id="19"/>
      <w:bookmarkEnd w:id="20"/>
      <w:bookmarkStart w:id="21" w:name="_Toc8485"/>
      <w:bookmarkStart w:id="22" w:name="_Toc15083"/>
    </w:p>
    <w:p>
      <w:pPr>
        <w:spacing w:line="480" w:lineRule="exact"/>
        <w:ind w:firstLine="640" w:firstLineChars="200"/>
        <w:rPr>
          <w:rFonts w:ascii="黑体" w:hAnsi="黑体" w:eastAsia="黑体" w:cs="黑体"/>
          <w:bCs/>
          <w:kern w:val="1"/>
          <w:sz w:val="32"/>
          <w:szCs w:val="32"/>
        </w:rPr>
      </w:pPr>
    </w:p>
    <w:p>
      <w:pPr>
        <w:numPr>
          <w:ilvl w:val="0"/>
          <w:numId w:val="1"/>
        </w:numPr>
        <w:spacing w:line="480" w:lineRule="exact"/>
        <w:rPr>
          <w:rFonts w:ascii="黑体" w:hAnsi="黑体" w:eastAsia="黑体" w:cs="黑体"/>
          <w:bCs/>
          <w:kern w:val="1"/>
          <w:sz w:val="32"/>
          <w:szCs w:val="32"/>
        </w:rPr>
      </w:pPr>
      <w:r>
        <w:rPr>
          <w:rFonts w:ascii="黑体" w:hAnsi="黑体" w:eastAsia="黑体" w:cs="黑体"/>
          <w:bCs/>
          <w:kern w:val="1"/>
          <w:sz w:val="32"/>
          <w:szCs w:val="32"/>
        </w:rPr>
        <w:t>课程</w:t>
      </w:r>
      <w:r>
        <w:rPr>
          <w:rFonts w:hint="eastAsia" w:ascii="黑体" w:hAnsi="黑体" w:eastAsia="黑体" w:cs="黑体"/>
          <w:bCs/>
          <w:kern w:val="1"/>
          <w:sz w:val="32"/>
          <w:szCs w:val="32"/>
        </w:rPr>
        <w:t>设置及要求</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本专业课程设置分为公共基础课模块、专业课程模块。</w:t>
      </w:r>
    </w:p>
    <w:p>
      <w:pPr>
        <w:spacing w:line="480" w:lineRule="exact"/>
        <w:ind w:firstLine="480" w:firstLineChars="200"/>
        <w:jc w:val="center"/>
        <w:rPr>
          <w:rFonts w:ascii="仿宋" w:hAnsi="仿宋" w:eastAsia="仿宋" w:cs="宋体"/>
          <w:sz w:val="24"/>
        </w:rPr>
      </w:pPr>
      <w:r>
        <w:rPr>
          <w:rFonts w:hint="eastAsia" w:ascii="仿宋" w:hAnsi="仿宋" w:eastAsia="仿宋" w:cs="宋体"/>
          <w:sz w:val="24"/>
        </w:rPr>
        <w:t>表2：课程内容设置</w:t>
      </w:r>
    </w:p>
    <w:tbl>
      <w:tblPr>
        <w:tblStyle w:val="14"/>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742"/>
        <w:gridCol w:w="1090"/>
        <w:gridCol w:w="671"/>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序号</w:t>
            </w:r>
          </w:p>
        </w:tc>
        <w:tc>
          <w:tcPr>
            <w:tcW w:w="1832" w:type="dxa"/>
            <w:gridSpan w:val="2"/>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课程类型</w:t>
            </w:r>
          </w:p>
        </w:tc>
        <w:tc>
          <w:tcPr>
            <w:tcW w:w="671" w:type="dxa"/>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学时</w:t>
            </w:r>
          </w:p>
        </w:tc>
        <w:tc>
          <w:tcPr>
            <w:tcW w:w="6389" w:type="dxa"/>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jc w:val="center"/>
        </w:trPr>
        <w:tc>
          <w:tcPr>
            <w:tcW w:w="832"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1832" w:type="dxa"/>
            <w:gridSpan w:val="2"/>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公共基础课（38.51%）</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1304</w:t>
            </w:r>
          </w:p>
        </w:tc>
        <w:tc>
          <w:tcPr>
            <w:tcW w:w="6389" w:type="dxa"/>
          </w:tcPr>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中国特色社会主义、心理健康与职业生涯、</w:t>
            </w:r>
            <w:r>
              <w:rPr>
                <w:rFonts w:hint="eastAsia" w:ascii="仿宋" w:hAnsi="仿宋" w:eastAsia="仿宋" w:cs="仿宋"/>
                <w:color w:val="000000"/>
                <w:szCs w:val="21"/>
                <w:lang w:eastAsia="zh-CN"/>
              </w:rPr>
              <w:t>职业道德与法治</w:t>
            </w:r>
            <w:r>
              <w:rPr>
                <w:rFonts w:hint="eastAsia" w:ascii="仿宋" w:hAnsi="仿宋" w:eastAsia="仿宋" w:cs="仿宋"/>
                <w:color w:val="000000"/>
                <w:szCs w:val="21"/>
              </w:rPr>
              <w:t>、哲学与人生、语文、历史、数学、英语、计算机应用基础、体育与健康、音乐、化学、军训、劳动教育。</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普通话、生物统计学、导游英语、花鼓操、旅游服务礼仪。</w:t>
            </w:r>
          </w:p>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外国历史、中华优秀传统文化、自然科学基础、就业指导与创业、贵州省情、法治意识教育、物理。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vMerge w:val="restart"/>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2</w:t>
            </w:r>
          </w:p>
        </w:tc>
        <w:tc>
          <w:tcPr>
            <w:tcW w:w="742" w:type="dxa"/>
            <w:vMerge w:val="restart"/>
            <w:vAlign w:val="center"/>
          </w:tcPr>
          <w:p>
            <w:pPr>
              <w:spacing w:line="360" w:lineRule="exact"/>
              <w:jc w:val="center"/>
              <w:rPr>
                <w:rFonts w:ascii="仿宋" w:hAnsi="仿宋" w:eastAsia="仿宋" w:cs="仿宋"/>
                <w:color w:val="000000"/>
                <w:szCs w:val="21"/>
              </w:rPr>
            </w:pPr>
          </w:p>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专业课程（61.49%）</w:t>
            </w:r>
          </w:p>
          <w:p>
            <w:pPr>
              <w:spacing w:line="360" w:lineRule="exact"/>
              <w:jc w:val="center"/>
              <w:rPr>
                <w:rFonts w:ascii="仿宋" w:hAnsi="仿宋" w:eastAsia="仿宋" w:cs="仿宋"/>
                <w:color w:val="000000"/>
                <w:szCs w:val="21"/>
              </w:rPr>
            </w:pPr>
          </w:p>
        </w:tc>
        <w:tc>
          <w:tcPr>
            <w:tcW w:w="109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专业基础课</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432</w:t>
            </w:r>
          </w:p>
        </w:tc>
        <w:tc>
          <w:tcPr>
            <w:tcW w:w="6389" w:type="dxa"/>
          </w:tcPr>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美术基础、园林植物基础、</w:t>
            </w:r>
            <w:r>
              <w:rPr>
                <w:rFonts w:hint="eastAsia" w:ascii="仿宋" w:hAnsi="仿宋" w:eastAsia="仿宋" w:cs="仿宋"/>
                <w:color w:val="000000"/>
                <w:szCs w:val="21"/>
                <w:lang w:eastAsia="zh-CN"/>
              </w:rPr>
              <w:t>植物组织培养</w:t>
            </w:r>
            <w:r>
              <w:rPr>
                <w:rFonts w:hint="eastAsia" w:ascii="仿宋" w:hAnsi="仿宋" w:eastAsia="仿宋" w:cs="仿宋"/>
                <w:color w:val="000000"/>
                <w:szCs w:val="21"/>
              </w:rPr>
              <w:t>、植物生产与环境、土壤与肥料、植物保护技术。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vMerge w:val="continue"/>
            <w:vAlign w:val="center"/>
          </w:tcPr>
          <w:p>
            <w:pPr>
              <w:spacing w:line="360" w:lineRule="exact"/>
              <w:jc w:val="center"/>
              <w:rPr>
                <w:rFonts w:ascii="仿宋" w:hAnsi="仿宋" w:eastAsia="仿宋" w:cs="仿宋"/>
                <w:color w:val="000000"/>
                <w:szCs w:val="21"/>
              </w:rPr>
            </w:pPr>
          </w:p>
        </w:tc>
        <w:tc>
          <w:tcPr>
            <w:tcW w:w="742" w:type="dxa"/>
            <w:vMerge w:val="continue"/>
            <w:vAlign w:val="center"/>
          </w:tcPr>
          <w:p>
            <w:pPr>
              <w:spacing w:line="360" w:lineRule="exact"/>
              <w:jc w:val="center"/>
              <w:rPr>
                <w:rFonts w:ascii="仿宋" w:hAnsi="仿宋" w:eastAsia="仿宋" w:cs="仿宋"/>
                <w:color w:val="000000"/>
                <w:szCs w:val="21"/>
              </w:rPr>
            </w:pPr>
          </w:p>
        </w:tc>
        <w:tc>
          <w:tcPr>
            <w:tcW w:w="109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专业核心课</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396</w:t>
            </w:r>
          </w:p>
        </w:tc>
        <w:tc>
          <w:tcPr>
            <w:tcW w:w="6389" w:type="dxa"/>
          </w:tcPr>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休闲农业与经营、园林美术、农作物生产技术、设施蔬菜栽培、设施果树栽培、乡村旅游实务。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vMerge w:val="continue"/>
            <w:vAlign w:val="center"/>
          </w:tcPr>
          <w:p>
            <w:pPr>
              <w:spacing w:line="360" w:lineRule="exact"/>
              <w:jc w:val="center"/>
              <w:rPr>
                <w:rFonts w:ascii="仿宋" w:hAnsi="仿宋" w:eastAsia="仿宋" w:cs="仿宋"/>
                <w:color w:val="000000"/>
                <w:szCs w:val="21"/>
              </w:rPr>
            </w:pPr>
          </w:p>
        </w:tc>
        <w:tc>
          <w:tcPr>
            <w:tcW w:w="742" w:type="dxa"/>
            <w:vMerge w:val="continue"/>
            <w:vAlign w:val="center"/>
          </w:tcPr>
          <w:p>
            <w:pPr>
              <w:spacing w:line="360" w:lineRule="exact"/>
              <w:jc w:val="center"/>
              <w:rPr>
                <w:rFonts w:ascii="仿宋" w:hAnsi="仿宋" w:eastAsia="仿宋" w:cs="仿宋"/>
                <w:color w:val="000000"/>
                <w:szCs w:val="21"/>
              </w:rPr>
            </w:pPr>
          </w:p>
        </w:tc>
        <w:tc>
          <w:tcPr>
            <w:tcW w:w="109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专业方向课</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216</w:t>
            </w:r>
          </w:p>
        </w:tc>
        <w:tc>
          <w:tcPr>
            <w:tcW w:w="6389" w:type="dxa"/>
          </w:tcPr>
          <w:p>
            <w:pPr>
              <w:spacing w:line="360" w:lineRule="exact"/>
              <w:jc w:val="left"/>
              <w:rPr>
                <w:rFonts w:ascii="仿宋" w:hAnsi="仿宋" w:eastAsia="仿宋" w:cs="仿宋"/>
                <w:color w:val="000000"/>
                <w:szCs w:val="21"/>
              </w:rPr>
            </w:pPr>
            <w:r>
              <w:rPr>
                <w:rFonts w:hint="eastAsia" w:ascii="仿宋" w:hAnsi="仿宋" w:eastAsia="仿宋" w:cs="仿宋"/>
                <w:color w:val="000000"/>
                <w:szCs w:val="21"/>
              </w:rPr>
              <w:t>观赏植物栽培、茶树栽培、食用菌高效栽培、观光农业园区规划设计、园林规划设计、室内植物装饰设计、导游实务、旅游政策与法规、旅游市场营销。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vMerge w:val="continue"/>
            <w:vAlign w:val="center"/>
          </w:tcPr>
          <w:p>
            <w:pPr>
              <w:spacing w:line="360" w:lineRule="exact"/>
              <w:jc w:val="center"/>
              <w:rPr>
                <w:rFonts w:ascii="仿宋" w:hAnsi="仿宋" w:eastAsia="仿宋" w:cs="仿宋"/>
                <w:color w:val="000000"/>
                <w:szCs w:val="21"/>
              </w:rPr>
            </w:pPr>
          </w:p>
        </w:tc>
        <w:tc>
          <w:tcPr>
            <w:tcW w:w="742" w:type="dxa"/>
            <w:vMerge w:val="continue"/>
            <w:vAlign w:val="center"/>
          </w:tcPr>
          <w:p>
            <w:pPr>
              <w:spacing w:line="360" w:lineRule="exact"/>
              <w:jc w:val="center"/>
              <w:rPr>
                <w:rFonts w:ascii="仿宋" w:hAnsi="仿宋" w:eastAsia="仿宋" w:cs="仿宋"/>
                <w:color w:val="000000"/>
                <w:szCs w:val="21"/>
              </w:rPr>
            </w:pPr>
          </w:p>
        </w:tc>
        <w:tc>
          <w:tcPr>
            <w:tcW w:w="109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专业拓展课</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378</w:t>
            </w:r>
          </w:p>
        </w:tc>
        <w:tc>
          <w:tcPr>
            <w:tcW w:w="6389" w:type="dxa"/>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茶艺、特种经济动物养殖技术、艺术插花、电子商务基础、特色中药材栽培技术、茶树生产与加工技术。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dxa"/>
            <w:vMerge w:val="continue"/>
            <w:vAlign w:val="center"/>
          </w:tcPr>
          <w:p>
            <w:pPr>
              <w:spacing w:line="360" w:lineRule="exact"/>
              <w:jc w:val="center"/>
              <w:rPr>
                <w:rFonts w:ascii="仿宋" w:hAnsi="仿宋" w:eastAsia="仿宋" w:cs="仿宋"/>
                <w:color w:val="000000"/>
                <w:szCs w:val="21"/>
              </w:rPr>
            </w:pPr>
          </w:p>
        </w:tc>
        <w:tc>
          <w:tcPr>
            <w:tcW w:w="742" w:type="dxa"/>
            <w:vMerge w:val="continue"/>
            <w:vAlign w:val="center"/>
          </w:tcPr>
          <w:p>
            <w:pPr>
              <w:spacing w:line="360" w:lineRule="exact"/>
              <w:jc w:val="center"/>
              <w:rPr>
                <w:rFonts w:ascii="仿宋" w:hAnsi="仿宋" w:eastAsia="仿宋" w:cs="仿宋"/>
                <w:color w:val="000000"/>
                <w:szCs w:val="21"/>
              </w:rPr>
            </w:pPr>
          </w:p>
        </w:tc>
        <w:tc>
          <w:tcPr>
            <w:tcW w:w="109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实践性教学环节</w:t>
            </w:r>
          </w:p>
        </w:tc>
        <w:tc>
          <w:tcPr>
            <w:tcW w:w="671"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660</w:t>
            </w:r>
          </w:p>
        </w:tc>
        <w:tc>
          <w:tcPr>
            <w:tcW w:w="6389"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综合实训、认知实习、跟岗实习、顶岗实习。</w:t>
            </w:r>
          </w:p>
        </w:tc>
      </w:tr>
    </w:tbl>
    <w:p>
      <w:pPr>
        <w:spacing w:line="360" w:lineRule="exact"/>
        <w:jc w:val="center"/>
        <w:rPr>
          <w:rFonts w:ascii="仿宋" w:hAnsi="仿宋" w:eastAsia="仿宋" w:cs="仿宋"/>
          <w:color w:val="000000"/>
          <w:szCs w:val="21"/>
        </w:rPr>
      </w:pPr>
    </w:p>
    <w:p>
      <w:pPr>
        <w:pStyle w:val="9"/>
        <w:jc w:val="center"/>
        <w:rPr>
          <w:sz w:val="28"/>
          <w:szCs w:val="28"/>
        </w:rPr>
      </w:pPr>
      <w:r>
        <w:pict>
          <v:shape id="_x0000_s1206" o:spid="_x0000_s1206" o:spt="75" type="#_x0000_t75" style="position:absolute;left:0pt;margin-left:-16.8pt;margin-top:15.85pt;height:345.5pt;width:519.6pt;mso-wrap-distance-bottom:0pt;mso-wrap-distance-left:9pt;mso-wrap-distance-right:9pt;mso-wrap-distance-top:0pt;z-index:251659264;mso-width-relative:page;mso-height-relative:page;" filled="f" o:preferrelative="t" stroked="f" coordsize="21600,21600">
            <v:path/>
            <v:fill on="f" focussize="0,0"/>
            <v:stroke on="f" joinstyle="miter"/>
            <v:imagedata r:id="rId8" o:title="1621930909"/>
            <o:lock v:ext="edit" aspectratio="t"/>
            <w10:wrap type="square"/>
          </v:shape>
        </w:pict>
      </w:r>
      <w:r>
        <w:rPr>
          <w:rFonts w:hint="eastAsia" w:ascii="仿宋" w:hAnsi="仿宋" w:eastAsia="仿宋" w:cs="仿宋"/>
          <w:color w:val="000000"/>
          <w:sz w:val="24"/>
        </w:rPr>
        <w:t>表3：课程体系构建图</w:t>
      </w:r>
    </w:p>
    <w:p>
      <w:pPr>
        <w:pStyle w:val="9"/>
        <w:jc w:val="center"/>
        <w:rPr>
          <w:sz w:val="28"/>
          <w:szCs w:val="28"/>
        </w:rPr>
      </w:pPr>
    </w:p>
    <w:p>
      <w:pPr>
        <w:spacing w:line="480" w:lineRule="exact"/>
        <w:outlineLvl w:val="1"/>
        <w:rPr>
          <w:rFonts w:ascii="楷体" w:hAnsi="楷体" w:eastAsia="楷体" w:cs="楷体"/>
          <w:b/>
          <w:bCs/>
          <w:color w:val="000000" w:themeColor="text1"/>
          <w:sz w:val="32"/>
          <w:szCs w:val="32"/>
        </w:rPr>
      </w:pPr>
      <w:bookmarkStart w:id="23" w:name="_Toc35933920"/>
      <w:bookmarkStart w:id="24" w:name="_Toc12481"/>
      <w:bookmarkStart w:id="25" w:name="_Toc22599"/>
      <w:bookmarkStart w:id="26" w:name="_Toc12835"/>
      <w:r>
        <w:rPr>
          <w:rFonts w:hint="eastAsia" w:ascii="楷体" w:hAnsi="楷体" w:eastAsia="楷体" w:cs="楷体"/>
          <w:b/>
          <w:bCs/>
          <w:color w:val="000000" w:themeColor="text1"/>
          <w:sz w:val="32"/>
          <w:szCs w:val="32"/>
        </w:rPr>
        <w:t>（一）公共基础课程</w:t>
      </w:r>
      <w:bookmarkEnd w:id="23"/>
    </w:p>
    <w:p>
      <w:pPr>
        <w:spacing w:line="480" w:lineRule="exact"/>
        <w:outlineLvl w:val="1"/>
        <w:rPr>
          <w:rFonts w:ascii="仿宋" w:hAnsi="仿宋" w:eastAsia="仿宋" w:cs="仿宋"/>
          <w:color w:val="000000"/>
          <w:sz w:val="24"/>
        </w:rPr>
      </w:pPr>
      <w:r>
        <w:rPr>
          <w:rFonts w:hint="eastAsia" w:ascii="楷体" w:hAnsi="楷体" w:eastAsia="楷体" w:cs="楷体"/>
          <w:b/>
          <w:bCs/>
          <w:color w:val="000000" w:themeColor="text1"/>
          <w:sz w:val="28"/>
          <w:szCs w:val="28"/>
        </w:rPr>
        <w:t>　　　　　　　　　　</w:t>
      </w:r>
      <w:r>
        <w:rPr>
          <w:rFonts w:hint="eastAsia" w:ascii="仿宋" w:hAnsi="仿宋" w:eastAsia="仿宋" w:cs="仿宋"/>
          <w:color w:val="000000"/>
          <w:sz w:val="24"/>
        </w:rPr>
        <w:t>表4： 公共基础必修课程教学内容及要求</w:t>
      </w:r>
    </w:p>
    <w:tbl>
      <w:tblPr>
        <w:tblStyle w:val="14"/>
        <w:tblW w:w="5131"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1807"/>
        <w:gridCol w:w="6115"/>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8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szCs w:val="21"/>
              </w:rPr>
              <w:t>中国特色社会主义</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心理健康与职业生涯</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哲学与人生</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center"/>
              <w:rPr>
                <w:rFonts w:hint="eastAsia" w:ascii="仿宋" w:hAnsi="仿宋" w:eastAsia="仿宋" w:cs="仿宋"/>
                <w:color w:val="000000" w:themeColor="text1"/>
                <w:szCs w:val="21"/>
                <w:lang w:eastAsia="zh-CN"/>
              </w:rPr>
            </w:pPr>
            <w:r>
              <w:rPr>
                <w:rFonts w:hint="eastAsia" w:ascii="仿宋" w:hAnsi="仿宋" w:eastAsia="仿宋" w:cs="仿宋"/>
                <w:color w:val="000000" w:themeColor="text1"/>
                <w:szCs w:val="21"/>
                <w:lang w:eastAsia="zh-CN"/>
              </w:rPr>
              <w:t>职业道德与法治</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w:t>
            </w:r>
            <w:r>
              <w:rPr>
                <w:rFonts w:hint="eastAsia" w:ascii="仿宋" w:hAnsi="仿宋" w:eastAsia="仿宋" w:cs="仿宋"/>
                <w:color w:val="000000"/>
                <w:szCs w:val="21"/>
                <w:lang w:eastAsia="zh-CN"/>
              </w:rPr>
              <w:t>职业道德与法治</w:t>
            </w:r>
            <w:r>
              <w:rPr>
                <w:rFonts w:hint="eastAsia" w:ascii="仿宋" w:hAnsi="仿宋" w:eastAsia="仿宋" w:cs="仿宋"/>
                <w:color w:val="000000"/>
                <w:szCs w:val="21"/>
              </w:rPr>
              <w:t>课程标准》开设，使学生了解文明礼仪的基本要求、职业道德的使用和基本规范，增强职业道德意识，养成职业道德行为习惯；树立法治观念，使学生成为知法、懂法、守法、具有公民精神的公民。</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语文</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语文课程标准》开设，使学生掌握必备的语文基础知识，培养日常生活和职业岗位需要的现代文阅读、写作、口语交际能力，具备初步的文学作品欣赏能力和浅易文言文阅读能力，提升文学修养和审美情趣。</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144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历史</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数学</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依据《中等职业学校数学课程标准》开设，使学生掌握相关数学知本专业中的应用能力。提高学生的观察能力、空间想象能力、分析与解决问题能力和实践应用能力。</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8</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英语</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依据《中等职业学校英语课程标准》开设、培养和激发学生学习英语的兴趣，使学生初步具备听、说、读、写的语言技能，并且能借助字典看懂简单的专业资料、能进行与专业相关的语言交流。</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9</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计算机用基础</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计算机应用基础课程标准》开设，使学生了解、掌握计算机应用的基础知识，计算机基本操作，能熟练使用常用办公软件、网络和多媒体技术等。初步具有利用计算机解决本专业学习、工作中常见问题的能力。</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体育与健康</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体育与健康课程标准》开设，旨在使学生树立“健康第一”的理念，传授体育健康的基本文化知识、体育锻炼技能和方法，通过科学指导和合理安排体育锻炼，增强学生体能素质，培养学生健康人格。</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音乐</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化学</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13</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军训</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14</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劳动教育</w:t>
            </w:r>
          </w:p>
        </w:tc>
        <w:tc>
          <w:tcPr>
            <w:tcW w:w="3089" w:type="pct"/>
            <w:vAlign w:val="center"/>
          </w:tcPr>
          <w:p>
            <w:pPr>
              <w:jc w:val="left"/>
              <w:rPr>
                <w:rFonts w:ascii="仿宋" w:hAnsi="仿宋" w:eastAsia="仿宋" w:cs="仿宋"/>
                <w:color w:val="000000"/>
                <w:szCs w:val="21"/>
              </w:rPr>
            </w:pPr>
            <w:r>
              <w:rPr>
                <w:rFonts w:hint="eastAsia" w:ascii="仿宋" w:hAnsi="仿宋" w:eastAsia="仿宋" w:cs="仿宋"/>
                <w:color w:val="000000"/>
                <w:szCs w:val="21"/>
              </w:rPr>
              <w:t>　以学生获得各种劳动体验，形成良好的技术素养，增益创新精神和时间能力为目标，强调动手与动脑相结合，以探究性、操作性为特征的实践活动课。</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324"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980</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52</w:t>
            </w:r>
          </w:p>
        </w:tc>
      </w:tr>
    </w:tbl>
    <w:p>
      <w:pPr>
        <w:spacing w:line="480" w:lineRule="exact"/>
        <w:outlineLvl w:val="1"/>
        <w:rPr>
          <w:rFonts w:ascii="楷体" w:hAnsi="楷体" w:eastAsia="楷体" w:cs="楷体"/>
          <w:b/>
          <w:bCs/>
          <w:color w:val="000000" w:themeColor="text1"/>
          <w:sz w:val="32"/>
          <w:szCs w:val="32"/>
        </w:rPr>
      </w:pPr>
      <w:bookmarkStart w:id="27" w:name="_Toc35933921"/>
    </w:p>
    <w:p>
      <w:pPr>
        <w:spacing w:line="480" w:lineRule="exact"/>
        <w:outlineLvl w:val="1"/>
        <w:rPr>
          <w:rFonts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（二）公共限定选修课程</w:t>
      </w:r>
      <w:bookmarkEnd w:id="27"/>
    </w:p>
    <w:p>
      <w:pPr>
        <w:jc w:val="center"/>
        <w:rPr>
          <w:rFonts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　</w:t>
      </w:r>
      <w:r>
        <w:rPr>
          <w:rFonts w:hint="eastAsia" w:ascii="仿宋" w:hAnsi="仿宋" w:eastAsia="仿宋" w:cs="仿宋"/>
          <w:color w:val="000000"/>
          <w:sz w:val="24"/>
        </w:rPr>
        <w:t>表5：公共限定选修课程教学内容及要求</w:t>
      </w:r>
    </w:p>
    <w:tbl>
      <w:tblPr>
        <w:tblStyle w:val="14"/>
        <w:tblW w:w="5131"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807"/>
        <w:gridCol w:w="6111"/>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8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szCs w:val="21"/>
              </w:rPr>
              <w:t>普通话</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szCs w:val="21"/>
              </w:rPr>
              <w:t>　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生物统计学</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了解生物统计学的概念、发展概况以及主要内容与作用，掌握资料整理与特征数计算、概率与概率分布，并能进行统计推断，为今后进行田间实验、分析实验数据，得出精准的结论而打下坚实的基础。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导游英语</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szCs w:val="21"/>
              </w:rPr>
              <w:t>　了解情景对话的英语知识，掌握景点介绍的相关内容，能够利用所学英语知识向外国游人介绍观光农业中各个景点的相关知识。</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花鼓操</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依据《中等职业学校体育与健康教学指导纲要》开设，并与专业实际和行业发展密切结合。加入特色花鼓操训练，传承民族民间文化。</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旅游服务礼仪</w:t>
            </w:r>
          </w:p>
        </w:tc>
        <w:tc>
          <w:tcPr>
            <w:tcW w:w="3087" w:type="pct"/>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了解旅游服务礼仪在个人发展和旅游业中的重要作用与地位、理解和掌握礼仪的基本概念和原理，从而提高今后从事旅游服务接待工作的艺术和水平。</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4324"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288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16</w:t>
            </w:r>
          </w:p>
        </w:tc>
      </w:tr>
    </w:tbl>
    <w:p>
      <w:pPr>
        <w:rPr>
          <w:rFonts w:ascii="仿宋" w:hAnsi="仿宋" w:eastAsia="仿宋" w:cs="仿宋"/>
          <w:color w:val="000000" w:themeColor="text1"/>
          <w:sz w:val="24"/>
        </w:rPr>
      </w:pPr>
      <w:bookmarkStart w:id="28" w:name="_Toc35933922"/>
      <w:r>
        <w:rPr>
          <w:rFonts w:hint="eastAsia" w:ascii="楷体" w:hAnsi="楷体" w:eastAsia="楷体" w:cs="楷体"/>
          <w:b/>
          <w:bCs/>
          <w:color w:val="000000" w:themeColor="text1"/>
          <w:sz w:val="32"/>
          <w:szCs w:val="32"/>
        </w:rPr>
        <w:t>（三）公共任意选修课程</w:t>
      </w:r>
      <w:bookmarkEnd w:id="28"/>
    </w:p>
    <w:p>
      <w:pPr>
        <w:jc w:val="center"/>
        <w:rPr>
          <w:rFonts w:ascii="仿宋" w:hAnsi="仿宋" w:eastAsia="仿宋" w:cs="仿宋"/>
          <w:color w:val="000000" w:themeColor="text1"/>
          <w:szCs w:val="21"/>
        </w:rPr>
      </w:pPr>
      <w:r>
        <w:rPr>
          <w:rFonts w:hint="eastAsia" w:ascii="仿宋" w:hAnsi="仿宋" w:eastAsia="仿宋" w:cs="仿宋"/>
          <w:color w:val="000000" w:themeColor="text1"/>
          <w:sz w:val="24"/>
        </w:rPr>
        <w:t>表6：公共任意选修课程教学内容及要求</w:t>
      </w:r>
    </w:p>
    <w:tbl>
      <w:tblPr>
        <w:tblStyle w:val="14"/>
        <w:tblW w:w="5131"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807"/>
        <w:gridCol w:w="6111"/>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8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外国历史</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了解古希腊罗马史学；了解中世纪史学；了解近现代西方史学；了解当代史学；了解其他地区史学。</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中华优秀传统文化</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13"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自然科学教育</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就业指导与创业教育</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贵州省情</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了解贵州的特殊地理环境；了解贵州悠久的发展历史；了解贵州多民族团结互助的社会环境；了解贵州潜力巨大的经济发展基础；了解贵州蓬勃发展的社会事业；了解社会主义政治建设与构建和谐贵州。</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法治意识教育</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使学生形成良好的法治意识，了解法律的基础知识，从而为今后踏入社会，遇到困难时能拿起法律的武器，维护自身的合法权益。</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物理</w:t>
            </w:r>
          </w:p>
        </w:tc>
        <w:tc>
          <w:tcPr>
            <w:tcW w:w="3087" w:type="pct"/>
            <w:vAlign w:val="center"/>
          </w:tcPr>
          <w:p>
            <w:pPr>
              <w:jc w:val="left"/>
              <w:rPr>
                <w:rFonts w:ascii="仿宋" w:hAnsi="仿宋" w:eastAsia="仿宋" w:cs="仿宋"/>
                <w:color w:val="000000" w:themeColor="text1"/>
                <w:szCs w:val="21"/>
              </w:rPr>
            </w:pPr>
            <w:r>
              <w:rPr>
                <w:rFonts w:hint="eastAsia" w:ascii="仿宋" w:hAnsi="仿宋" w:eastAsia="仿宋" w:cs="仿宋"/>
                <w:kern w:val="0"/>
                <w:szCs w:val="21"/>
              </w:rPr>
              <w:t>　依据《中等职业教育物理课程标准》开设，使学生掌握必要的物理基础知识和基本技能。</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4324"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小计（7选2）</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r>
    </w:tbl>
    <w:p>
      <w:pPr>
        <w:rPr>
          <w:rFonts w:ascii="仿宋" w:hAnsi="仿宋" w:eastAsia="仿宋" w:cs="仿宋"/>
          <w:color w:val="000000" w:themeColor="text1"/>
          <w:szCs w:val="21"/>
        </w:rPr>
      </w:pPr>
    </w:p>
    <w:p>
      <w:pPr>
        <w:spacing w:line="480" w:lineRule="exact"/>
        <w:outlineLvl w:val="1"/>
        <w:rPr>
          <w:rFonts w:ascii="楷体" w:hAnsi="楷体" w:eastAsia="楷体" w:cs="楷体"/>
          <w:b/>
          <w:bCs/>
          <w:color w:val="000000" w:themeColor="text1"/>
          <w:sz w:val="32"/>
          <w:szCs w:val="32"/>
        </w:rPr>
      </w:pPr>
      <w:bookmarkStart w:id="29" w:name="_Toc35933923"/>
      <w:r>
        <w:rPr>
          <w:rFonts w:hint="eastAsia" w:ascii="楷体" w:hAnsi="楷体" w:eastAsia="楷体" w:cs="楷体"/>
          <w:b/>
          <w:bCs/>
          <w:color w:val="000000" w:themeColor="text1"/>
          <w:sz w:val="32"/>
          <w:szCs w:val="32"/>
        </w:rPr>
        <w:t>（四）专业基础课程</w:t>
      </w:r>
    </w:p>
    <w:p>
      <w:pPr>
        <w:keepNext/>
        <w:keepLines/>
        <w:ind w:left="839" w:firstLine="1050" w:firstLineChars="500"/>
        <w:rPr>
          <w:rFonts w:ascii="楷体" w:hAnsi="楷体" w:eastAsia="楷体" w:cs="楷体"/>
          <w:b/>
          <w:bCs/>
          <w:color w:val="000000" w:themeColor="text1"/>
          <w:sz w:val="32"/>
          <w:szCs w:val="32"/>
        </w:rPr>
      </w:pPr>
      <w:r>
        <w:rPr>
          <w:rFonts w:hint="eastAsia" w:ascii="仿宋" w:hAnsi="仿宋" w:cs="仿宋"/>
          <w:bCs/>
          <w:szCs w:val="21"/>
        </w:rPr>
        <w:t>　　</w:t>
      </w:r>
      <w:r>
        <w:rPr>
          <w:rFonts w:hint="eastAsia" w:ascii="仿宋" w:hAnsi="仿宋" w:eastAsia="仿宋" w:cs="仿宋"/>
          <w:color w:val="000000" w:themeColor="text1"/>
          <w:sz w:val="24"/>
        </w:rPr>
        <w:t>表7：专业基础课程教学内容及要求</w:t>
      </w:r>
    </w:p>
    <w:tbl>
      <w:tblPr>
        <w:tblStyle w:val="14"/>
        <w:tblW w:w="5131"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807"/>
        <w:gridCol w:w="6117"/>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9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美术基础</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了解素描、色彩、图案的基础知识，掌握线条的画法、明暗画法、色彩的观察、色彩的调配、色彩的表现及图案造型和图案纹样的组织等知识。</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园林植物基础</w:t>
            </w:r>
          </w:p>
        </w:tc>
        <w:tc>
          <w:tcPr>
            <w:tcW w:w="3090" w:type="pct"/>
            <w:vAlign w:val="center"/>
          </w:tcPr>
          <w:p>
            <w:pPr>
              <w:jc w:val="left"/>
              <w:rPr>
                <w:rFonts w:ascii="仿宋" w:hAnsi="仿宋" w:cs="仿宋"/>
                <w:color w:val="000000" w:themeColor="text1"/>
                <w:szCs w:val="21"/>
              </w:rPr>
            </w:pPr>
            <w:r>
              <w:rPr>
                <w:rFonts w:hint="eastAsia" w:ascii="仿宋" w:hAnsi="仿宋" w:eastAsia="仿宋" w:cs="仿宋"/>
                <w:color w:val="000000" w:themeColor="text1"/>
                <w:szCs w:val="21"/>
              </w:rPr>
              <w:t>　了解植物形态与生长发育规律，掌握园林植物生长与环境调控的方法。能对园林植物生长的土壤、水分、温度、湿度、光照、气候等进行调控。</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1807" w:type="dxa"/>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植物组织培养</w:t>
            </w:r>
          </w:p>
        </w:tc>
        <w:tc>
          <w:tcPr>
            <w:tcW w:w="6117" w:type="dxa"/>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了解植物组织培养的基础知识、培养基的配制及灭菌；掌握无菌操作技术、试管苗的驯化移栽、植物脱毒技术、花卉、蔬菜、果树、树木的快速繁殖技术。并学会组培苗工厂化生产的经营与管理技术。</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90</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植物生产与环境</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了解植物生长的规律、植物生产与环境的关系；掌握植物生产受哪些环境条件的限制；能找到植物生产与环境因素的规律；会利用环境因素更好的为植物生产服务。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土壤与肥料</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了解土壤肥料在植物生产中的作用，我国南北土壤特征；掌握土壤改良措施，土壤肥料对植物生长的作用；能对强酸和强碱土壤进行改良；会掌握对土壤的利用，更好为农业生产服务。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植物保护技术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了解植物病虫害防治的内容、任务及重要性；掌握当地植物的食叶、汲汁、蛀干、地下害虫和叶、花、枝干、根部病害发生发展规律及其科学的防治技术。</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4324"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432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24</w:t>
            </w:r>
          </w:p>
        </w:tc>
      </w:tr>
    </w:tbl>
    <w:p>
      <w:pPr>
        <w:spacing w:line="480" w:lineRule="exact"/>
        <w:outlineLvl w:val="1"/>
        <w:rPr>
          <w:rFonts w:ascii="楷体" w:hAnsi="楷体" w:eastAsia="楷体" w:cs="楷体"/>
          <w:b/>
          <w:bCs/>
          <w:color w:val="000000" w:themeColor="text1"/>
          <w:sz w:val="32"/>
          <w:szCs w:val="32"/>
        </w:rPr>
      </w:pPr>
    </w:p>
    <w:p>
      <w:pPr>
        <w:spacing w:line="480" w:lineRule="exact"/>
        <w:outlineLvl w:val="1"/>
        <w:rPr>
          <w:rFonts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（五）专业核心课程</w:t>
      </w:r>
      <w:bookmarkEnd w:id="29"/>
    </w:p>
    <w:p>
      <w:pPr>
        <w:keepNext/>
        <w:keepLines/>
        <w:ind w:left="839" w:firstLine="1050" w:firstLineChars="500"/>
        <w:rPr>
          <w:rFonts w:ascii="楷体" w:hAnsi="楷体" w:eastAsia="楷体" w:cs="楷体"/>
          <w:b/>
          <w:bCs/>
          <w:color w:val="000000" w:themeColor="text1"/>
          <w:sz w:val="32"/>
          <w:szCs w:val="32"/>
        </w:rPr>
      </w:pPr>
      <w:r>
        <w:rPr>
          <w:rFonts w:hint="eastAsia" w:ascii="仿宋" w:hAnsi="仿宋" w:cs="仿宋"/>
          <w:bCs/>
          <w:szCs w:val="21"/>
        </w:rPr>
        <w:t>　　</w:t>
      </w:r>
      <w:r>
        <w:rPr>
          <w:rFonts w:hint="eastAsia" w:ascii="仿宋" w:hAnsi="仿宋" w:eastAsia="仿宋" w:cs="仿宋"/>
          <w:color w:val="000000" w:themeColor="text1"/>
          <w:sz w:val="24"/>
        </w:rPr>
        <w:t>表8：专业核心课程教学内容及要求</w:t>
      </w:r>
    </w:p>
    <w:tbl>
      <w:tblPr>
        <w:tblStyle w:val="14"/>
        <w:tblW w:w="5131"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807"/>
        <w:gridCol w:w="6117"/>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9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休闲农业与经营</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了解休闲农业的概念及发展意义，掌握休闲农业的类型及运用模式，并能对休闲农业进行一定的规划，能对农产品进行一定的开发与经营。</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园林美术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素描的发展简史、素描材料；掌握素描的观察方法与分析方法、空间关系的表现形式、园林建筑的基本透视规律、园林植物的表现技巧等，使学生有熟练和准确的造型能力，并且具备较强的表现能力，为学生在今后的园林设计、造型和电脑美术设计方面打下一定的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农作物生产技术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农作物生产的概况，掌握水稻、小麦（大麦）、玉米、大豆、甘薯、马铃薯、棉花、油菜、花生、甘蔗、甜菜、烟草和高粱、谷子的生产技术，突出学生的技能训练与培养，为更好的服务当地农业打下坚实的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设施蔬菜栽培</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设施蔬菜栽培的作用，掌握特色品种设施栽培技术。初步形成按经济规律从事农业生产经营活动的规模化生产进行科学管理，获取最佳效益的能力，为更好的从事农业生产经营活动的自主创业奠定坚实的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设施果树栽培</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了解塑料大棚的结构特点和建造方法以及日光温室及其环境；掌握草莓、樱桃、葡萄、桃树、李树设施栽培的关键技术，并将科学理论与生产实践紧密结合，以实现真正提高学生的实践动手操作能力。</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乡村旅游实务</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乡村旅游相关的游购娱活动；掌握营销策略、乡村旅游接待礼仪与规范以及与乡村旅游有关的设施配备与标准等知识。注重提高学生的专业素养，开阔学生的视野，拓宽学生的知识面，为今后从事旅游相关工作打下一定的人文基础。</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4324"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w:t>
            </w:r>
          </w:p>
        </w:tc>
        <w:tc>
          <w:tcPr>
            <w:tcW w:w="33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396</w:t>
            </w:r>
          </w:p>
        </w:tc>
        <w:tc>
          <w:tcPr>
            <w:tcW w:w="338"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22</w:t>
            </w:r>
          </w:p>
        </w:tc>
      </w:tr>
    </w:tbl>
    <w:p>
      <w:pPr>
        <w:spacing w:line="480" w:lineRule="exact"/>
        <w:outlineLvl w:val="1"/>
        <w:rPr>
          <w:rFonts w:ascii="楷体" w:hAnsi="楷体" w:eastAsia="楷体" w:cs="楷体"/>
          <w:b/>
          <w:bCs/>
          <w:color w:val="000000" w:themeColor="text1"/>
          <w:sz w:val="32"/>
          <w:szCs w:val="32"/>
        </w:rPr>
      </w:pPr>
      <w:bookmarkStart w:id="30" w:name="_Toc35933924"/>
    </w:p>
    <w:p>
      <w:pPr>
        <w:spacing w:line="480" w:lineRule="exact"/>
        <w:outlineLvl w:val="1"/>
        <w:rPr>
          <w:sz w:val="24"/>
        </w:rPr>
      </w:pPr>
      <w:r>
        <w:rPr>
          <w:rFonts w:hint="eastAsia" w:ascii="楷体" w:hAnsi="楷体" w:eastAsia="楷体" w:cs="楷体"/>
          <w:b/>
          <w:bCs/>
          <w:color w:val="000000" w:themeColor="text1"/>
          <w:sz w:val="32"/>
          <w:szCs w:val="32"/>
        </w:rPr>
        <w:t>（六）专业拓展课程</w:t>
      </w:r>
      <w:bookmarkEnd w:id="30"/>
    </w:p>
    <w:p>
      <w:pPr>
        <w:keepNext/>
        <w:keepLines/>
        <w:rPr>
          <w:rFonts w:ascii="仿宋" w:hAnsi="仿宋" w:eastAsia="仿宋" w:cs="仿宋"/>
          <w:b/>
          <w:bCs/>
          <w:color w:val="000000" w:themeColor="text1"/>
          <w:szCs w:val="21"/>
        </w:rPr>
      </w:pPr>
      <w:r>
        <w:rPr>
          <w:rFonts w:hint="eastAsia"/>
          <w:sz w:val="24"/>
        </w:rPr>
        <w:t>　　　　　　　　　　　</w:t>
      </w:r>
      <w:r>
        <w:rPr>
          <w:rFonts w:hint="eastAsia" w:ascii="仿宋" w:hAnsi="仿宋" w:eastAsia="仿宋" w:cs="仿宋"/>
          <w:color w:val="000000" w:themeColor="text1"/>
          <w:sz w:val="24"/>
        </w:rPr>
        <w:t>表9：专业拓展课程教学主要内容及要求</w:t>
      </w:r>
    </w:p>
    <w:tbl>
      <w:tblPr>
        <w:tblStyle w:val="14"/>
        <w:tblW w:w="5132"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807"/>
        <w:gridCol w:w="6119"/>
        <w:gridCol w:w="665"/>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3090"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茶艺</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茶艺服务中接待服务的礼貌礼节、语言表达艺术、接待艺术，有关泡茶用水知识、茶艺表演场所布置知识、茶艺表演基本知识、中国各地名茶、名泉、艺术品茗知识等；掌握泡茶基本程序，掌握碧螺春、乌龙茶、普洱茶、茉莉花茶、红茶的冲泡。</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特种经济动物养殖技术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了解毛皮动物、药用动物、特禽的养殖技术，让种植与养殖能更好的融合，为今后的观光农业增加亮点。</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艺术插花</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了解艺术插花所需的花卉材料、花材的形状和用途；掌握常用花材的加工技巧，插花造型的程序及基本形式。</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54</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电子商务基础</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了解电子商务的基本概念，掌握电子商务中网络、数据库等技术的应用，掌握电子商务交易的常见模式及学会网上开店。</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特色中药材栽培技术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了解特色药材的生物学特性，并学会选地与整地的等相关知识，掌握繁殖的方法，田间管理技术，病虫害防治等相关知识。</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913"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茶叶生产与加工技术</w:t>
            </w:r>
          </w:p>
        </w:tc>
        <w:tc>
          <w:tcPr>
            <w:tcW w:w="3090"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了解茶叶的分类及生产技术，掌握茶叶的加工与贮藏技术。</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108</w:t>
            </w:r>
          </w:p>
        </w:tc>
        <w:tc>
          <w:tcPr>
            <w:tcW w:w="336"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r>
      <w:tr>
        <w:tblPrEx>
          <w:tblCellMar>
            <w:top w:w="0" w:type="dxa"/>
            <w:left w:w="108" w:type="dxa"/>
            <w:bottom w:w="0" w:type="dxa"/>
            <w:right w:w="108" w:type="dxa"/>
          </w:tblCellMar>
        </w:tblPrEx>
        <w:trPr>
          <w:trHeight w:val="497" w:hRule="atLeast"/>
        </w:trPr>
        <w:tc>
          <w:tcPr>
            <w:tcW w:w="4326" w:type="pct"/>
            <w:gridSpan w:val="3"/>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合计（6选4）</w:t>
            </w:r>
          </w:p>
        </w:tc>
        <w:tc>
          <w:tcPr>
            <w:tcW w:w="638" w:type="dxa"/>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378</w:t>
            </w:r>
          </w:p>
        </w:tc>
        <w:tc>
          <w:tcPr>
            <w:tcW w:w="638" w:type="dxa"/>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21</w:t>
            </w:r>
          </w:p>
        </w:tc>
      </w:tr>
    </w:tbl>
    <w:p>
      <w:pPr>
        <w:jc w:val="center"/>
        <w:rPr>
          <w:rFonts w:ascii="仿宋" w:hAnsi="仿宋" w:eastAsia="仿宋" w:cs="仿宋"/>
          <w:color w:val="000000" w:themeColor="text1"/>
          <w:szCs w:val="21"/>
        </w:rPr>
      </w:pPr>
    </w:p>
    <w:p>
      <w:pPr>
        <w:spacing w:line="480" w:lineRule="exact"/>
        <w:outlineLvl w:val="1"/>
        <w:rPr>
          <w:sz w:val="24"/>
        </w:rPr>
      </w:pPr>
      <w:bookmarkStart w:id="31" w:name="_Toc35933925"/>
      <w:r>
        <w:rPr>
          <w:rFonts w:hint="eastAsia" w:ascii="楷体" w:hAnsi="楷体" w:eastAsia="楷体" w:cs="楷体"/>
          <w:b/>
          <w:bCs/>
          <w:color w:val="000000" w:themeColor="text1"/>
          <w:sz w:val="32"/>
          <w:szCs w:val="32"/>
        </w:rPr>
        <w:t>（七）专业方向课程</w:t>
      </w:r>
      <w:bookmarkEnd w:id="31"/>
    </w:p>
    <w:p>
      <w:pPr>
        <w:spacing w:line="480" w:lineRule="exact"/>
        <w:outlineLvl w:val="1"/>
        <w:rPr>
          <w:sz w:val="24"/>
        </w:rPr>
      </w:pPr>
      <w:r>
        <w:rPr>
          <w:rFonts w:hint="eastAsia"/>
          <w:sz w:val="24"/>
        </w:rPr>
        <w:t>　　　　　　　　　　　　　　</w:t>
      </w:r>
      <w:r>
        <w:rPr>
          <w:rFonts w:hint="eastAsia" w:ascii="仿宋" w:hAnsi="仿宋" w:eastAsia="仿宋" w:cs="仿宋"/>
          <w:color w:val="000000" w:themeColor="text1"/>
          <w:sz w:val="24"/>
        </w:rPr>
        <w:t>表10：专业方向课程教学内容及要求</w:t>
      </w:r>
    </w:p>
    <w:tbl>
      <w:tblPr>
        <w:tblStyle w:val="14"/>
        <w:tblW w:w="51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4"/>
        <w:gridCol w:w="628"/>
        <w:gridCol w:w="1453"/>
        <w:gridCol w:w="5259"/>
        <w:gridCol w:w="711"/>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专业</w:t>
            </w:r>
          </w:p>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方向</w:t>
            </w:r>
          </w:p>
        </w:tc>
        <w:tc>
          <w:tcPr>
            <w:tcW w:w="317"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734"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课程名称</w:t>
            </w:r>
          </w:p>
        </w:tc>
        <w:tc>
          <w:tcPr>
            <w:tcW w:w="2655"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主要教学内容和要求</w:t>
            </w:r>
          </w:p>
        </w:tc>
        <w:tc>
          <w:tcPr>
            <w:tcW w:w="359"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参考学时</w:t>
            </w:r>
          </w:p>
        </w:tc>
        <w:tc>
          <w:tcPr>
            <w:tcW w:w="355" w:type="pct"/>
            <w:vAlign w:val="center"/>
          </w:tcPr>
          <w:p>
            <w:pPr>
              <w:spacing w:line="48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restar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观赏植物栽培方向</w:t>
            </w: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观赏植物栽培</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了解观赏植物的种类、生态环境、生活习性、栽培设施以及观赏植物栽培的现状和趋势，掌握观赏植物栽培的基本理论和技术。</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8" w:type="pct"/>
            <w:vMerge w:val="continue"/>
            <w:vAlign w:val="center"/>
          </w:tcPr>
          <w:p>
            <w:pPr>
              <w:jc w:val="center"/>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茶树栽培</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了解茶树特征特性、茶树栽培品种与繁殖、茶园建设，掌握茶园管理、茶树树冠培养、茶叶采摘、茶树病虫害防治、茶园安全生产等专业基础理论。</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jc w:val="center"/>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食用菌高效栽培</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了解食用菌菌种制作与保藏，食用菌病虫害防治，食用菌贮藏加工技术。掌握平菇、金针菇、香菇、双孢菇、鸡腿菇、杏鲍菇、白灵菇的栽培技术。</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restar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农业观赏区域规划与建设方向</w:t>
            </w: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观光农业园区规划设计</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了解观光农业园区内涵及分类、规划设计的定义、依据与原则以及内容；掌握规划设计的方法与流程，掌握园区建设标准与规划设计要求。让技术与艺术、抽象与具体能有机结合。</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jc w:val="center"/>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园林规划设计</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了解中国园林发展经历的主要历史阶段及其特征、国外园林发展概况及其造园特点、中国园林发展现状及其发展趋势；掌握园林地形、水体、植物种植、花坛的种植等设计方法。</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jc w:val="center"/>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室内植物装饰设计</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了解室内植物装饰的概念及应用、室内植物装饰的发展过程及现状、室内植物装饰的功能、室内植物装饰艺术与文化等；掌握室内植物配置方法、室内植物装饰类型、不同功能空间的植物装饰设计。</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restar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观光农业园区导游方向</w:t>
            </w: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导游实务</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了解导游人员的职责及素质要求，熟悉导游服务的相关程序，掌握导游服务技能，具备处理旅游问题及事故的能力。</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jc w:val="left"/>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旅游政策与法规</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了解当代马克思主义、社会主义初级阶段、社会主义市场经济等相关基础知识，掌握宪法、民事法律、消费者权益保护等相关制度。</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jc w:val="left"/>
              <w:rPr>
                <w:rFonts w:ascii="仿宋" w:hAnsi="仿宋" w:eastAsia="仿宋" w:cs="仿宋"/>
                <w:color w:val="000000" w:themeColor="text1"/>
                <w:szCs w:val="21"/>
              </w:rPr>
            </w:pPr>
          </w:p>
        </w:tc>
        <w:tc>
          <w:tcPr>
            <w:tcW w:w="317"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734"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旅游市场营销</w:t>
            </w:r>
          </w:p>
        </w:tc>
        <w:tc>
          <w:tcPr>
            <w:tcW w:w="2655" w:type="pct"/>
            <w:vAlign w:val="center"/>
          </w:tcPr>
          <w:p>
            <w:pPr>
              <w:jc w:val="left"/>
              <w:rPr>
                <w:rFonts w:ascii="仿宋" w:hAnsi="仿宋" w:eastAsia="仿宋" w:cs="仿宋"/>
                <w:color w:val="000000" w:themeColor="text1"/>
                <w:szCs w:val="21"/>
              </w:rPr>
            </w:pPr>
            <w:r>
              <w:rPr>
                <w:rFonts w:hint="eastAsia" w:ascii="仿宋" w:hAnsi="仿宋" w:eastAsia="仿宋" w:cs="仿宋"/>
                <w:color w:val="000000" w:themeColor="text1"/>
                <w:szCs w:val="21"/>
              </w:rPr>
              <w:t>　了解市场、市场旅游、市场营销、旅游市场营销的相关知识，从而提高对旅游的认识，学会对旅游营销进行分析、调研，掌握旅游营销的战略，为专业方向课的学习打下坚实的理论基础。</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72</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285" w:type="pct"/>
            <w:gridSpan w:val="4"/>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合计（任选1个方向）</w:t>
            </w:r>
          </w:p>
        </w:tc>
        <w:tc>
          <w:tcPr>
            <w:tcW w:w="359"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216</w:t>
            </w:r>
          </w:p>
        </w:tc>
        <w:tc>
          <w:tcPr>
            <w:tcW w:w="355" w:type="pct"/>
            <w:vAlign w:val="center"/>
          </w:tcPr>
          <w:p>
            <w:pPr>
              <w:jc w:val="center"/>
              <w:rPr>
                <w:rFonts w:ascii="仿宋" w:hAnsi="仿宋" w:eastAsia="仿宋" w:cs="仿宋"/>
                <w:color w:val="000000" w:themeColor="text1"/>
                <w:szCs w:val="21"/>
              </w:rPr>
            </w:pPr>
            <w:r>
              <w:rPr>
                <w:rFonts w:hint="eastAsia" w:ascii="仿宋" w:hAnsi="仿宋" w:eastAsia="仿宋" w:cs="仿宋"/>
                <w:color w:val="000000" w:themeColor="text1"/>
                <w:szCs w:val="21"/>
              </w:rPr>
              <w:t>12</w:t>
            </w:r>
          </w:p>
        </w:tc>
      </w:tr>
    </w:tbl>
    <w:p>
      <w:pPr>
        <w:rPr>
          <w:rFonts w:ascii="仿宋" w:hAnsi="仿宋" w:eastAsia="仿宋" w:cs="仿宋"/>
          <w:color w:val="000000" w:themeColor="text1"/>
          <w:szCs w:val="21"/>
        </w:rPr>
      </w:pPr>
    </w:p>
    <w:p>
      <w:pPr>
        <w:spacing w:line="480" w:lineRule="exact"/>
        <w:outlineLvl w:val="1"/>
        <w:rPr>
          <w:rFonts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（八）实践性教学环节</w:t>
      </w:r>
    </w:p>
    <w:p>
      <w:pPr>
        <w:spacing w:line="48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1.综合实训</w:t>
      </w:r>
    </w:p>
    <w:p>
      <w:pPr>
        <w:spacing w:line="48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综合实训安排在第五学期，为期3天，合计学时18学时，折合学分1学分。主要任务是对学生的专业课技能进行强化训练，提升学生专业技能的操作能力，为后期的跟岗实习做好充分的准备。</w:t>
      </w:r>
    </w:p>
    <w:p>
      <w:pPr>
        <w:spacing w:line="48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2.认知实习</w:t>
      </w:r>
    </w:p>
    <w:p>
      <w:pPr>
        <w:spacing w:line="48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认知实习安排在第一学期，为期1天。主要任务了解农作物生产员、花卉园艺工、果树园艺工等工作，增强学生对专业的认同感和职业意识，提高学生对专业学习的兴趣。通过认知实习能较直观地了解与专业相关的工作岗位，增强学生学习专业知识和掌握专业技能的信心，为以后继学习专业知识和专业技能奠定坚实的基础。</w:t>
      </w:r>
    </w:p>
    <w:p>
      <w:pPr>
        <w:spacing w:line="48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3.跟岗实习</w:t>
      </w:r>
    </w:p>
    <w:p>
      <w:pPr>
        <w:spacing w:line="480" w:lineRule="exact"/>
        <w:ind w:firstLine="560" w:firstLineChars="200"/>
        <w:rPr>
          <w:rFonts w:ascii="仿宋_GB2312" w:eastAsia="仿宋_GB2312"/>
          <w:color w:val="000000" w:themeColor="text1"/>
          <w:sz w:val="28"/>
          <w:szCs w:val="28"/>
        </w:rPr>
      </w:pPr>
      <w:r>
        <w:rPr>
          <w:rFonts w:hint="eastAsia" w:ascii="仿宋" w:hAnsi="仿宋" w:eastAsia="仿宋" w:cs="仿宋"/>
          <w:color w:val="000000"/>
          <w:sz w:val="28"/>
          <w:szCs w:val="28"/>
        </w:rPr>
        <w:t>跟岗实习安排在第五学期，为期1周，合计学时36学时，折合学分2学分。主要任务熟悉栽培与管理的工作流程及规范，实际体验农作物生产员、花卉园艺工、果树园艺工及观光园区导游工作岗位任务，进行实际操作，提升学生的职业素养及综合能力。</w:t>
      </w:r>
    </w:p>
    <w:p>
      <w:pPr>
        <w:spacing w:line="480" w:lineRule="exact"/>
        <w:outlineLvl w:val="1"/>
        <w:rPr>
          <w:rFonts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　　</w:t>
      </w:r>
      <w:r>
        <w:rPr>
          <w:rFonts w:hint="eastAsia" w:ascii="仿宋" w:hAnsi="仿宋" w:eastAsia="仿宋" w:cs="仿宋"/>
          <w:color w:val="000000"/>
          <w:sz w:val="28"/>
          <w:szCs w:val="28"/>
        </w:rPr>
        <w:t>4.顶岗实习</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顶岗实习安排在第六学期进行，实习时间为20周，共计600学时，约为33学分。专业顶岗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农业行业现况，了解农业行业各岗位对人才的需求，培养吃苦耐劳的品质和良好的职业道德、职业素质；培养与人交流、沟通的能力，增强团队合作精神，促进学生由学校人向社会人的转变。</w:t>
      </w:r>
    </w:p>
    <w:p>
      <w:pPr>
        <w:jc w:val="center"/>
        <w:rPr>
          <w:rFonts w:ascii="仿宋" w:hAnsi="仿宋" w:eastAsia="仿宋" w:cs="仿宋"/>
          <w:color w:val="000000" w:themeColor="text1"/>
          <w:szCs w:val="21"/>
        </w:rPr>
      </w:pPr>
    </w:p>
    <w:p>
      <w:pPr>
        <w:spacing w:line="520" w:lineRule="exact"/>
        <w:outlineLvl w:val="0"/>
        <w:rPr>
          <w:rFonts w:ascii="仿宋" w:hAnsi="仿宋" w:eastAsia="仿宋" w:cs="仿宋"/>
          <w:color w:val="000000"/>
          <w:sz w:val="28"/>
          <w:szCs w:val="28"/>
        </w:rPr>
      </w:pPr>
      <w:bookmarkStart w:id="32" w:name="_Toc35933928"/>
      <w:r>
        <w:rPr>
          <w:rFonts w:hint="eastAsia" w:ascii="黑体" w:hAnsi="黑体" w:eastAsia="黑体" w:cs="黑体"/>
          <w:sz w:val="32"/>
          <w:szCs w:val="32"/>
        </w:rPr>
        <w:t>七、教学进程总体安排</w:t>
      </w:r>
      <w:bookmarkEnd w:id="32"/>
    </w:p>
    <w:p>
      <w:pPr>
        <w:spacing w:line="620" w:lineRule="exact"/>
        <w:outlineLvl w:val="1"/>
        <w:rPr>
          <w:rFonts w:eastAsia="仿宋"/>
          <w:b/>
          <w:bCs/>
          <w:sz w:val="28"/>
        </w:rPr>
      </w:pPr>
      <w:bookmarkStart w:id="33" w:name="_Toc355954826"/>
      <w:r>
        <w:rPr>
          <w:rFonts w:hint="eastAsia" w:ascii="仿宋" w:hAnsi="仿宋" w:eastAsia="仿宋" w:cs="仿宋"/>
          <w:color w:val="000000"/>
          <w:sz w:val="28"/>
          <w:szCs w:val="28"/>
        </w:rPr>
        <w:t>（</w:t>
      </w:r>
      <w:r>
        <w:rPr>
          <w:rFonts w:hint="eastAsia" w:eastAsia="仿宋"/>
          <w:b/>
          <w:bCs/>
          <w:sz w:val="28"/>
        </w:rPr>
        <w:t>一）总体要求</w:t>
      </w:r>
      <w:bookmarkEnd w:id="33"/>
    </w:p>
    <w:p>
      <w:pPr>
        <w:spacing w:line="480" w:lineRule="exact"/>
        <w:ind w:firstLine="560"/>
        <w:rPr>
          <w:rFonts w:hAnsi="仿宋" w:cs="仿宋"/>
          <w:color w:val="000000" w:themeColor="text1"/>
          <w:kern w:val="1"/>
          <w:sz w:val="28"/>
          <w:szCs w:val="28"/>
        </w:rPr>
      </w:pPr>
      <w:r>
        <w:rPr>
          <w:rFonts w:hint="eastAsia" w:hAnsi="仿宋" w:cs="仿宋"/>
          <w:color w:val="000000" w:themeColor="text1"/>
          <w:kern w:val="1"/>
          <w:sz w:val="28"/>
          <w:szCs w:val="28"/>
        </w:rPr>
        <w:t>教学总周数110周（顶岗实习为一个学期，按20周计算），教学总课时3386学时。每学期教学时间18周，全学年教学时间36周。</w:t>
      </w:r>
    </w:p>
    <w:p>
      <w:pPr>
        <w:spacing w:line="320" w:lineRule="exact"/>
        <w:ind w:firstLine="480"/>
        <w:jc w:val="center"/>
        <w:rPr>
          <w:rFonts w:hAnsi="仿宋" w:cs="仿宋"/>
          <w:color w:val="000000" w:themeColor="text1"/>
          <w:sz w:val="24"/>
        </w:rPr>
      </w:pPr>
      <w:r>
        <w:rPr>
          <w:rFonts w:hint="eastAsia" w:hAnsi="仿宋" w:cs="仿宋"/>
          <w:color w:val="000000" w:themeColor="text1"/>
          <w:szCs w:val="21"/>
        </w:rPr>
        <w:t>表11：教学时间安排</w:t>
      </w:r>
    </w:p>
    <w:tbl>
      <w:tblPr>
        <w:tblStyle w:val="14"/>
        <w:tblW w:w="9428" w:type="dxa"/>
        <w:jc w:val="center"/>
        <w:tblLayout w:type="fixed"/>
        <w:tblCellMar>
          <w:top w:w="0" w:type="dxa"/>
          <w:left w:w="108" w:type="dxa"/>
          <w:bottom w:w="0" w:type="dxa"/>
          <w:right w:w="108" w:type="dxa"/>
        </w:tblCellMar>
      </w:tblPr>
      <w:tblGrid>
        <w:gridCol w:w="1933"/>
        <w:gridCol w:w="2080"/>
        <w:gridCol w:w="3405"/>
        <w:gridCol w:w="2010"/>
      </w:tblGrid>
      <w:tr>
        <w:tblPrEx>
          <w:tblCellMar>
            <w:top w:w="0" w:type="dxa"/>
            <w:left w:w="108" w:type="dxa"/>
            <w:bottom w:w="0" w:type="dxa"/>
            <w:right w:w="108" w:type="dxa"/>
          </w:tblCellMar>
        </w:tblPrEx>
        <w:trPr>
          <w:trHeight w:val="90" w:hRule="atLeast"/>
          <w:jc w:val="center"/>
        </w:trPr>
        <w:tc>
          <w:tcPr>
            <w:tcW w:w="193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Ansi="仿宋" w:cs="仿宋"/>
                <w:color w:val="000000" w:themeColor="text1"/>
              </w:rPr>
            </w:pPr>
            <w:r>
              <w:rPr>
                <w:rFonts w:hint="eastAsia" w:hAnsi="仿宋" w:cs="仿宋"/>
                <w:color w:val="000000" w:themeColor="text1"/>
              </w:rPr>
              <w:t>全年总周数（周）</w:t>
            </w:r>
          </w:p>
        </w:tc>
        <w:tc>
          <w:tcPr>
            <w:tcW w:w="2080" w:type="dxa"/>
            <w:tcBorders>
              <w:top w:val="single" w:color="000000" w:sz="4" w:space="0"/>
              <w:left w:val="single" w:color="000000" w:sz="4" w:space="0"/>
              <w:bottom w:val="single" w:color="000000" w:sz="4" w:space="0"/>
              <w:right w:val="single" w:color="000000" w:sz="4" w:space="0"/>
            </w:tcBorders>
            <w:vAlign w:val="center"/>
          </w:tcPr>
          <w:p>
            <w:pPr>
              <w:spacing w:line="320" w:lineRule="exact"/>
              <w:ind w:firstLine="210" w:firstLineChars="100"/>
              <w:jc w:val="center"/>
              <w:rPr>
                <w:rFonts w:hAnsi="仿宋" w:cs="仿宋"/>
                <w:color w:val="000000" w:themeColor="text1"/>
              </w:rPr>
            </w:pPr>
            <w:r>
              <w:rPr>
                <w:rFonts w:hint="eastAsia" w:hAnsi="仿宋" w:cs="仿宋"/>
                <w:color w:val="000000" w:themeColor="text1"/>
              </w:rPr>
              <w:t>累计假（周）</w:t>
            </w:r>
          </w:p>
        </w:tc>
        <w:tc>
          <w:tcPr>
            <w:tcW w:w="340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Ansi="仿宋" w:cs="仿宋"/>
                <w:color w:val="000000" w:themeColor="text1"/>
              </w:rPr>
            </w:pPr>
            <w:r>
              <w:rPr>
                <w:rFonts w:hint="eastAsia" w:hAnsi="仿宋" w:cs="仿宋"/>
                <w:color w:val="000000" w:themeColor="text1"/>
              </w:rPr>
              <w:t>军训、劳动教育、纪律教育、活动等时间（周）</w:t>
            </w:r>
          </w:p>
        </w:tc>
        <w:tc>
          <w:tcPr>
            <w:tcW w:w="2010" w:type="dxa"/>
            <w:tcBorders>
              <w:top w:val="single" w:color="000000" w:sz="4" w:space="0"/>
              <w:left w:val="single" w:color="000000" w:sz="4" w:space="0"/>
              <w:bottom w:val="single" w:color="000000" w:sz="4" w:space="0"/>
              <w:right w:val="single" w:color="000000" w:sz="4" w:space="0"/>
            </w:tcBorders>
            <w:vAlign w:val="center"/>
          </w:tcPr>
          <w:p>
            <w:pPr>
              <w:spacing w:line="320" w:lineRule="exact"/>
              <w:ind w:firstLine="420"/>
              <w:jc w:val="center"/>
              <w:rPr>
                <w:rFonts w:hAnsi="仿宋" w:cs="仿宋"/>
                <w:color w:val="000000" w:themeColor="text1"/>
              </w:rPr>
            </w:pPr>
            <w:r>
              <w:rPr>
                <w:rFonts w:hint="eastAsia" w:hAnsi="仿宋" w:cs="仿宋"/>
                <w:color w:val="000000" w:themeColor="text1"/>
              </w:rPr>
              <w:t>教学时间(周）</w:t>
            </w:r>
          </w:p>
        </w:tc>
      </w:tr>
      <w:tr>
        <w:tblPrEx>
          <w:tblCellMar>
            <w:top w:w="0" w:type="dxa"/>
            <w:left w:w="108" w:type="dxa"/>
            <w:bottom w:w="0" w:type="dxa"/>
            <w:right w:w="108" w:type="dxa"/>
          </w:tblCellMar>
        </w:tblPrEx>
        <w:trPr>
          <w:trHeight w:val="338" w:hRule="atLeast"/>
          <w:jc w:val="center"/>
        </w:trPr>
        <w:tc>
          <w:tcPr>
            <w:tcW w:w="1933" w:type="dxa"/>
            <w:tcBorders>
              <w:top w:val="single" w:color="000000" w:sz="4" w:space="0"/>
              <w:left w:val="single" w:color="000000" w:sz="4" w:space="0"/>
              <w:bottom w:val="single" w:color="000000" w:sz="4" w:space="0"/>
              <w:right w:val="single" w:color="000000" w:sz="4" w:space="0"/>
            </w:tcBorders>
          </w:tcPr>
          <w:p>
            <w:pPr>
              <w:spacing w:line="320" w:lineRule="exact"/>
              <w:ind w:firstLine="420"/>
              <w:jc w:val="center"/>
              <w:rPr>
                <w:rFonts w:hAnsi="仿宋" w:eastAsia="仿宋" w:cs="仿宋"/>
                <w:color w:val="000000" w:themeColor="text1"/>
              </w:rPr>
            </w:pPr>
            <w:r>
              <w:rPr>
                <w:rFonts w:hint="eastAsia" w:hAnsi="仿宋" w:cs="仿宋"/>
                <w:color w:val="000000" w:themeColor="text1"/>
              </w:rPr>
              <w:t>52</w:t>
            </w:r>
          </w:p>
        </w:tc>
        <w:tc>
          <w:tcPr>
            <w:tcW w:w="2080" w:type="dxa"/>
            <w:tcBorders>
              <w:top w:val="single" w:color="000000" w:sz="4" w:space="0"/>
              <w:left w:val="single" w:color="000000" w:sz="4" w:space="0"/>
              <w:bottom w:val="single" w:color="000000" w:sz="4" w:space="0"/>
              <w:right w:val="single" w:color="000000" w:sz="4" w:space="0"/>
            </w:tcBorders>
          </w:tcPr>
          <w:p>
            <w:pPr>
              <w:spacing w:line="320" w:lineRule="exact"/>
              <w:ind w:firstLine="420"/>
              <w:jc w:val="center"/>
              <w:rPr>
                <w:rFonts w:hAnsi="仿宋" w:cs="仿宋"/>
                <w:color w:val="000000" w:themeColor="text1"/>
              </w:rPr>
            </w:pPr>
            <w:r>
              <w:rPr>
                <w:rFonts w:hint="eastAsia" w:hAnsi="仿宋" w:cs="仿宋"/>
                <w:color w:val="000000" w:themeColor="text1"/>
              </w:rPr>
              <w:t>12</w:t>
            </w:r>
          </w:p>
        </w:tc>
        <w:tc>
          <w:tcPr>
            <w:tcW w:w="3405" w:type="dxa"/>
            <w:tcBorders>
              <w:top w:val="single" w:color="000000" w:sz="4" w:space="0"/>
              <w:left w:val="single" w:color="000000" w:sz="4" w:space="0"/>
              <w:bottom w:val="single" w:color="000000" w:sz="4" w:space="0"/>
              <w:right w:val="single" w:color="000000" w:sz="4" w:space="0"/>
            </w:tcBorders>
          </w:tcPr>
          <w:p>
            <w:pPr>
              <w:spacing w:line="320" w:lineRule="exact"/>
              <w:ind w:firstLine="420"/>
              <w:jc w:val="center"/>
              <w:rPr>
                <w:rFonts w:hAnsi="仿宋" w:eastAsia="仿宋" w:cs="仿宋"/>
                <w:color w:val="000000" w:themeColor="text1"/>
              </w:rPr>
            </w:pPr>
            <w:r>
              <w:rPr>
                <w:rFonts w:hint="eastAsia" w:hAnsi="仿宋" w:cs="仿宋"/>
                <w:color w:val="000000" w:themeColor="text1"/>
              </w:rPr>
              <w:t>4</w:t>
            </w:r>
          </w:p>
        </w:tc>
        <w:tc>
          <w:tcPr>
            <w:tcW w:w="2010" w:type="dxa"/>
            <w:tcBorders>
              <w:top w:val="single" w:color="000000" w:sz="4" w:space="0"/>
              <w:left w:val="single" w:color="000000" w:sz="4" w:space="0"/>
              <w:bottom w:val="single" w:color="000000" w:sz="4" w:space="0"/>
              <w:right w:val="single" w:color="000000" w:sz="4" w:space="0"/>
            </w:tcBorders>
          </w:tcPr>
          <w:p>
            <w:pPr>
              <w:spacing w:line="320" w:lineRule="exact"/>
              <w:ind w:firstLine="420"/>
              <w:jc w:val="center"/>
              <w:rPr>
                <w:rFonts w:hAnsi="仿宋" w:cs="仿宋"/>
                <w:color w:val="000000" w:themeColor="text1"/>
              </w:rPr>
            </w:pPr>
            <w:r>
              <w:rPr>
                <w:rFonts w:hint="eastAsia" w:hAnsi="仿宋" w:cs="仿宋"/>
                <w:color w:val="000000" w:themeColor="text1"/>
              </w:rPr>
              <w:t>36</w:t>
            </w:r>
          </w:p>
        </w:tc>
      </w:tr>
    </w:tbl>
    <w:p>
      <w:pPr>
        <w:spacing w:line="480" w:lineRule="exact"/>
        <w:rPr>
          <w:rFonts w:hAnsi="仿宋" w:cs="仿宋"/>
          <w:color w:val="FF0000"/>
          <w:kern w:val="1"/>
          <w:sz w:val="28"/>
          <w:szCs w:val="28"/>
        </w:rPr>
      </w:pPr>
      <w:r>
        <w:rPr>
          <w:rFonts w:hint="eastAsia" w:hAnsi="仿宋" w:cs="仿宋"/>
          <w:color w:val="000000" w:themeColor="text1"/>
          <w:kern w:val="1"/>
          <w:sz w:val="28"/>
          <w:szCs w:val="28"/>
        </w:rPr>
        <w:t>　　（1）教学学时：三年总学时数为3386学时,总学分185分；其中公共课1304学时70学分，专业课2082学时115学分。</w:t>
      </w:r>
    </w:p>
    <w:p>
      <w:pPr>
        <w:spacing w:line="620" w:lineRule="exact"/>
        <w:outlineLvl w:val="1"/>
        <w:rPr>
          <w:rFonts w:eastAsia="仿宋"/>
          <w:b/>
          <w:bCs/>
          <w:sz w:val="28"/>
        </w:rPr>
      </w:pPr>
      <w:r>
        <w:rPr>
          <w:rFonts w:hint="eastAsia" w:ascii="仿宋" w:hAnsi="仿宋" w:eastAsia="仿宋" w:cs="仿宋"/>
          <w:color w:val="000000"/>
          <w:sz w:val="28"/>
          <w:szCs w:val="28"/>
        </w:rPr>
        <w:t>　</w:t>
      </w:r>
      <w:bookmarkStart w:id="34" w:name="_Toc355954827"/>
      <w:r>
        <w:rPr>
          <w:rFonts w:hint="eastAsia" w:eastAsia="仿宋"/>
          <w:b/>
          <w:bCs/>
          <w:sz w:val="28"/>
        </w:rPr>
        <w:t>　（二）教学进度安排</w:t>
      </w:r>
      <w:bookmarkEnd w:id="34"/>
    </w:p>
    <w:p>
      <w:pPr>
        <w:spacing w:line="620" w:lineRule="exact"/>
        <w:outlineLvl w:val="1"/>
        <w:rPr>
          <w:sz w:val="24"/>
        </w:rPr>
        <w:sectPr>
          <w:footerReference r:id="rId4" w:type="default"/>
          <w:pgSz w:w="11850" w:h="16783"/>
          <w:pgMar w:top="1383" w:right="1213" w:bottom="1383" w:left="1213" w:header="851" w:footer="992" w:gutter="0"/>
          <w:pgNumType w:start="1"/>
          <w:cols w:space="720" w:num="1"/>
          <w:docGrid w:type="lines" w:linePitch="312" w:charSpace="0"/>
        </w:sectPr>
      </w:pPr>
      <w:r>
        <w:rPr>
          <w:rFonts w:hint="eastAsia" w:eastAsia="仿宋"/>
          <w:b/>
          <w:bCs/>
          <w:sz w:val="28"/>
        </w:rPr>
        <w:t>　　　　　　　　　</w:t>
      </w:r>
      <w:bookmarkStart w:id="35" w:name="_Toc355954829"/>
      <w:r>
        <w:rPr>
          <w:rFonts w:hint="eastAsia"/>
          <w:sz w:val="24"/>
        </w:rPr>
        <w:t>表12：休闲农业生产与经营专业课程运行</w:t>
      </w:r>
    </w:p>
    <w:tbl>
      <w:tblPr>
        <w:tblStyle w:val="14"/>
        <w:tblW w:w="14544" w:type="dxa"/>
        <w:tblInd w:w="0" w:type="dxa"/>
        <w:tblLayout w:type="autofit"/>
        <w:tblCellMar>
          <w:top w:w="0" w:type="dxa"/>
          <w:left w:w="0" w:type="dxa"/>
          <w:bottom w:w="0" w:type="dxa"/>
          <w:right w:w="0" w:type="dxa"/>
        </w:tblCellMar>
      </w:tblPr>
      <w:tblGrid>
        <w:gridCol w:w="527"/>
        <w:gridCol w:w="374"/>
        <w:gridCol w:w="660"/>
        <w:gridCol w:w="492"/>
        <w:gridCol w:w="996"/>
        <w:gridCol w:w="911"/>
        <w:gridCol w:w="1535"/>
        <w:gridCol w:w="588"/>
        <w:gridCol w:w="600"/>
        <w:gridCol w:w="630"/>
        <w:gridCol w:w="630"/>
        <w:gridCol w:w="630"/>
        <w:gridCol w:w="600"/>
        <w:gridCol w:w="870"/>
        <w:gridCol w:w="855"/>
        <w:gridCol w:w="929"/>
        <w:gridCol w:w="900"/>
        <w:gridCol w:w="929"/>
        <w:gridCol w:w="888"/>
      </w:tblGrid>
      <w:tr>
        <w:tblPrEx>
          <w:tblCellMar>
            <w:top w:w="0" w:type="dxa"/>
            <w:left w:w="0" w:type="dxa"/>
            <w:bottom w:w="0" w:type="dxa"/>
            <w:right w:w="0" w:type="dxa"/>
          </w:tblCellMar>
        </w:tblPrEx>
        <w:trPr>
          <w:trHeight w:val="315" w:hRule="atLeast"/>
        </w:trPr>
        <w:tc>
          <w:tcPr>
            <w:tcW w:w="15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课程类别</w:t>
            </w: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序号</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仿宋" w:hAnsi="仿宋" w:eastAsia="仿宋" w:cs="仿宋"/>
                <w:b/>
                <w:color w:val="000000"/>
                <w:kern w:val="0"/>
                <w:sz w:val="24"/>
                <w:lang w:eastAsia="zh-CN"/>
              </w:rPr>
            </w:pPr>
            <w:r>
              <w:rPr>
                <w:rFonts w:hint="eastAsia" w:ascii="仿宋" w:hAnsi="仿宋" w:eastAsia="仿宋" w:cs="仿宋"/>
                <w:b/>
                <w:color w:val="000000"/>
                <w:kern w:val="0"/>
                <w:sz w:val="24"/>
              </w:rPr>
              <w:t>课程</w:t>
            </w:r>
          </w:p>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编码</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仿宋" w:hAnsi="仿宋" w:eastAsia="仿宋" w:cs="仿宋"/>
                <w:b/>
                <w:color w:val="000000"/>
                <w:kern w:val="0"/>
                <w:sz w:val="24"/>
                <w:lang w:eastAsia="zh-CN"/>
              </w:rPr>
            </w:pPr>
            <w:r>
              <w:rPr>
                <w:rFonts w:hint="eastAsia" w:ascii="仿宋" w:hAnsi="仿宋" w:eastAsia="仿宋" w:cs="仿宋"/>
                <w:b/>
                <w:color w:val="000000"/>
                <w:kern w:val="0"/>
                <w:sz w:val="24"/>
              </w:rPr>
              <w:t>课程</w:t>
            </w:r>
          </w:p>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性质</w:t>
            </w:r>
          </w:p>
        </w:tc>
        <w:tc>
          <w:tcPr>
            <w:tcW w:w="153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课程名称</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课程类型</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考核方式</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参考学时</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参考学分</w:t>
            </w: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学时安排</w:t>
            </w:r>
          </w:p>
        </w:tc>
      </w:tr>
      <w:tr>
        <w:tblPrEx>
          <w:tblCellMar>
            <w:top w:w="0" w:type="dxa"/>
            <w:left w:w="0" w:type="dxa"/>
            <w:bottom w:w="0" w:type="dxa"/>
            <w:right w:w="0" w:type="dxa"/>
          </w:tblCellMar>
        </w:tblPrEx>
        <w:trPr>
          <w:trHeight w:val="315"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总学时</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理论学时</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实践学时</w:t>
            </w: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第一学年</w:t>
            </w:r>
          </w:p>
        </w:tc>
        <w:tc>
          <w:tcPr>
            <w:tcW w:w="18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第二学年</w:t>
            </w:r>
          </w:p>
        </w:tc>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第三学年</w:t>
            </w:r>
          </w:p>
        </w:tc>
      </w:tr>
      <w:tr>
        <w:tblPrEx>
          <w:tblCellMar>
            <w:top w:w="0" w:type="dxa"/>
            <w:left w:w="0" w:type="dxa"/>
            <w:bottom w:w="0" w:type="dxa"/>
            <w:right w:w="0" w:type="dxa"/>
          </w:tblCellMar>
        </w:tblPrEx>
        <w:trPr>
          <w:trHeight w:val="66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第一学期18周</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第二学期18周</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第三学期18周</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第四学期18周</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第五学期18周</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第六学期20周</w:t>
            </w:r>
          </w:p>
        </w:tc>
      </w:tr>
      <w:tr>
        <w:tblPrEx>
          <w:tblCellMar>
            <w:top w:w="0" w:type="dxa"/>
            <w:left w:w="0" w:type="dxa"/>
            <w:bottom w:w="0" w:type="dxa"/>
            <w:right w:w="0" w:type="dxa"/>
          </w:tblCellMar>
        </w:tblPrEx>
        <w:trPr>
          <w:trHeight w:val="620" w:hRule="atLeast"/>
        </w:trPr>
        <w:tc>
          <w:tcPr>
            <w:tcW w:w="15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公共基础课</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中国特色社会主义</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8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心理健康与职业生涯</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顶岗　实习</w:t>
            </w: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哲学与人生</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8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仿宋" w:hAnsi="仿宋" w:eastAsia="仿宋" w:cs="仿宋"/>
                <w:b/>
                <w:color w:val="000000"/>
                <w:sz w:val="24"/>
                <w:lang w:eastAsia="zh-CN"/>
              </w:rPr>
            </w:pPr>
            <w:r>
              <w:rPr>
                <w:rFonts w:hint="eastAsia" w:ascii="仿宋" w:hAnsi="仿宋" w:eastAsia="仿宋" w:cs="仿宋"/>
                <w:b/>
                <w:color w:val="000000"/>
                <w:kern w:val="0"/>
                <w:sz w:val="24"/>
                <w:lang w:eastAsia="zh-CN"/>
              </w:rPr>
              <w:t>职业道德与法治</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语文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144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144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8</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9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历史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11107</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数学</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8</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11108</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英语</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2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9</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11109</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计算机应用基础</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11110</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体育与健康</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音乐</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化学</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22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军训</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2周</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劳动教育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1周</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1周</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980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18</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112101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限选修</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普通话</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112102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限选修</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生物统计学</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112103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限选修</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导游英语</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112104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限选修</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花鼓操</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8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112105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限选修</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旅游服务礼仪</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288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180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11117</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外国历史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11118</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中华优秀传统文化</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2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11119</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自然科学教育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11120</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就业指导与创业教育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11121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贵州省情</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11122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法治意识教育</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11114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物理</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小计（7选2）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15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1304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824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480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70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20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14</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6</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8</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专业课</w:t>
            </w:r>
          </w:p>
        </w:tc>
        <w:tc>
          <w:tcPr>
            <w:tcW w:w="10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专业基础课程</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美术基础</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园林植物基础</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2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植物生产与环境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植物组织培养</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90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土壤与肥料</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113106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 xml:space="preserve">植物保护技术 </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r>
              <w:rPr>
                <w:rFonts w:hint="eastAsia" w:ascii="仿宋" w:hAnsi="仿宋" w:eastAsia="仿宋" w:cs="仿宋"/>
                <w:b/>
                <w:color w:val="00000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432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262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170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9</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B0F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专业核心课程</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休闲农业与经营</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3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园林美术</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农作物生产技术</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4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设施蔬菜栽培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r>
              <w:rPr>
                <w:rFonts w:hint="eastAsia" w:ascii="仿宋" w:hAnsi="仿宋" w:eastAsia="仿宋" w:cs="仿宋"/>
                <w:b/>
                <w:color w:val="00000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设施果树栽培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4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114106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乡村旅游实务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r>
              <w:rPr>
                <w:rFonts w:hint="eastAsia" w:ascii="仿宋" w:hAnsi="仿宋" w:eastAsia="仿宋" w:cs="仿宋"/>
                <w:b/>
                <w:color w:val="000000"/>
                <w:sz w:val="24"/>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396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224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7</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2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专业方向课</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植物栽培技术（方向）</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观赏植物栽培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7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茶树栽培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74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食用菌高效栽培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农业观赏区域规划与建设（方向）</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观光农业园区规划设计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园林规划设计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7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室内植物装饰设计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观光农业园区导游（方向）</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115107</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导游实务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115108</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旅游政策与法规</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115109</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必修课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旅游市场营销</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72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78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 xml:space="preserve">      　　　　　小计（任选1个方向）</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216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120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96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12</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仿宋" w:hAnsi="仿宋" w:eastAsia="仿宋" w:cs="仿宋"/>
                <w:b/>
                <w:color w:val="000000"/>
                <w:kern w:val="0"/>
                <w:sz w:val="24"/>
                <w:lang w:eastAsia="zh-CN"/>
              </w:rPr>
            </w:pPr>
            <w:r>
              <w:rPr>
                <w:rFonts w:hint="eastAsia" w:ascii="仿宋" w:hAnsi="仿宋" w:eastAsia="仿宋" w:cs="仿宋"/>
                <w:b/>
                <w:color w:val="000000"/>
                <w:kern w:val="0"/>
                <w:sz w:val="24"/>
              </w:rPr>
              <w:t>专业</w:t>
            </w:r>
          </w:p>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拓展课</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茶艺</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74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特种经济动物养殖技术</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艺术插花</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电子商务基础</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5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0"/>
                <w:szCs w:val="20"/>
              </w:rPr>
            </w:pPr>
            <w:r>
              <w:rPr>
                <w:rFonts w:hint="eastAsia" w:ascii="仿宋" w:hAnsi="仿宋" w:eastAsia="仿宋" w:cs="仿宋"/>
                <w:b/>
                <w:color w:val="000000"/>
                <w:kern w:val="0"/>
                <w:sz w:val="20"/>
                <w:szCs w:val="20"/>
              </w:rPr>
              <w:t>特色中药材栽培技术</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66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116106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 xml:space="preserve">茶叶生产与加工技术 </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B</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108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56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3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小计（6选4）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378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182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196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21</w:t>
            </w: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实践性教学环节</w:t>
            </w: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综合实训</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C</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w:t>
            </w: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安排第五学期进行，为期3天</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认知实习</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C</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安排第一学期进行，为期1天</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跟岗实习</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C</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w:t>
            </w: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安排第五学期进行，为期1周</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4</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顶岗实习</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C</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考查</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600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33</w:t>
            </w: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安排在第三学年第二学期进行，为期20周</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1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512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小计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660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660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36</w:t>
            </w:r>
          </w:p>
        </w:tc>
        <w:tc>
          <w:tcPr>
            <w:tcW w:w="53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6156"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2082</w:t>
            </w:r>
          </w:p>
        </w:tc>
        <w:tc>
          <w:tcPr>
            <w:tcW w:w="63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736</w:t>
            </w:r>
          </w:p>
        </w:tc>
        <w:tc>
          <w:tcPr>
            <w:tcW w:w="63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1346</w:t>
            </w:r>
          </w:p>
        </w:tc>
        <w:tc>
          <w:tcPr>
            <w:tcW w:w="60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115</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11</w:t>
            </w:r>
          </w:p>
        </w:tc>
        <w:tc>
          <w:tcPr>
            <w:tcW w:w="85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9</w:t>
            </w:r>
          </w:p>
        </w:tc>
        <w:tc>
          <w:tcPr>
            <w:tcW w:w="92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15</w:t>
            </w:r>
          </w:p>
        </w:tc>
        <w:tc>
          <w:tcPr>
            <w:tcW w:w="90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23</w:t>
            </w:r>
          </w:p>
        </w:tc>
        <w:tc>
          <w:tcPr>
            <w:tcW w:w="92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21</w:t>
            </w:r>
          </w:p>
        </w:tc>
        <w:tc>
          <w:tcPr>
            <w:tcW w:w="88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30</w:t>
            </w:r>
          </w:p>
        </w:tc>
      </w:tr>
      <w:tr>
        <w:tblPrEx>
          <w:tblCellMar>
            <w:top w:w="0" w:type="dxa"/>
            <w:left w:w="0" w:type="dxa"/>
            <w:bottom w:w="0" w:type="dxa"/>
            <w:right w:w="0" w:type="dxa"/>
          </w:tblCellMar>
        </w:tblPrEx>
        <w:trPr>
          <w:trHeight w:val="400" w:hRule="atLeast"/>
        </w:trPr>
        <w:tc>
          <w:tcPr>
            <w:tcW w:w="6683"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　　总计</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3386</w:t>
            </w:r>
          </w:p>
        </w:tc>
        <w:tc>
          <w:tcPr>
            <w:tcW w:w="63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1560</w:t>
            </w:r>
          </w:p>
        </w:tc>
        <w:tc>
          <w:tcPr>
            <w:tcW w:w="63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1826</w:t>
            </w:r>
          </w:p>
        </w:tc>
        <w:tc>
          <w:tcPr>
            <w:tcW w:w="60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黑体" w:hAnsi="宋体" w:eastAsia="黑体" w:cs="黑体"/>
                <w:b/>
                <w:color w:val="00B0F0"/>
                <w:sz w:val="24"/>
              </w:rPr>
            </w:pPr>
            <w:r>
              <w:rPr>
                <w:rFonts w:hint="eastAsia" w:ascii="黑体" w:hAnsi="宋体" w:eastAsia="黑体" w:cs="黑体"/>
                <w:b/>
                <w:color w:val="00B0F0"/>
                <w:kern w:val="0"/>
                <w:sz w:val="24"/>
              </w:rPr>
              <w:t>185</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29</w:t>
            </w:r>
          </w:p>
        </w:tc>
        <w:tc>
          <w:tcPr>
            <w:tcW w:w="85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29</w:t>
            </w:r>
          </w:p>
        </w:tc>
        <w:tc>
          <w:tcPr>
            <w:tcW w:w="92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29</w:t>
            </w:r>
          </w:p>
        </w:tc>
        <w:tc>
          <w:tcPr>
            <w:tcW w:w="90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29</w:t>
            </w:r>
          </w:p>
        </w:tc>
        <w:tc>
          <w:tcPr>
            <w:tcW w:w="92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29</w:t>
            </w:r>
          </w:p>
        </w:tc>
        <w:tc>
          <w:tcPr>
            <w:tcW w:w="0" w:type="auto"/>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30</w:t>
            </w:r>
          </w:p>
        </w:tc>
      </w:tr>
      <w:tr>
        <w:tblPrEx>
          <w:tblCellMar>
            <w:top w:w="0" w:type="dxa"/>
            <w:left w:w="0" w:type="dxa"/>
            <w:bottom w:w="0" w:type="dxa"/>
            <w:right w:w="0" w:type="dxa"/>
          </w:tblCellMar>
        </w:tblPrEx>
        <w:trPr>
          <w:trHeight w:val="400"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课程比例</w:t>
            </w:r>
          </w:p>
        </w:tc>
        <w:tc>
          <w:tcPr>
            <w:tcW w:w="9516"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公共基础课占比=公共课学时（1304）/应修总学时（3386）</w:t>
            </w:r>
          </w:p>
        </w:tc>
        <w:tc>
          <w:tcPr>
            <w:tcW w:w="450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38.51%</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516"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选修课学时占比=选修课学时（378）/应修总学时（3386）</w:t>
            </w:r>
          </w:p>
        </w:tc>
        <w:tc>
          <w:tcPr>
            <w:tcW w:w="450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11.16%</w:t>
            </w:r>
          </w:p>
        </w:tc>
      </w:tr>
      <w:tr>
        <w:tblPrEx>
          <w:tblCellMar>
            <w:top w:w="0" w:type="dxa"/>
            <w:left w:w="0" w:type="dxa"/>
            <w:bottom w:w="0" w:type="dxa"/>
            <w:right w:w="0" w:type="dxa"/>
          </w:tblCellMar>
        </w:tblPrEx>
        <w:trPr>
          <w:trHeight w:val="40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 w:hAnsi="仿宋" w:eastAsia="仿宋" w:cs="仿宋"/>
                <w:b/>
                <w:color w:val="000000"/>
                <w:sz w:val="24"/>
              </w:rPr>
            </w:pPr>
          </w:p>
        </w:tc>
        <w:tc>
          <w:tcPr>
            <w:tcW w:w="9516"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实践教学学时占比=应修实践教学学时(1826)/应修总学时（3386）</w:t>
            </w:r>
          </w:p>
        </w:tc>
        <w:tc>
          <w:tcPr>
            <w:tcW w:w="450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 w:hAnsi="仿宋" w:eastAsia="仿宋" w:cs="仿宋"/>
                <w:b/>
                <w:color w:val="00B0F0"/>
                <w:sz w:val="24"/>
              </w:rPr>
            </w:pPr>
            <w:r>
              <w:rPr>
                <w:rFonts w:hint="eastAsia" w:ascii="仿宋" w:hAnsi="仿宋" w:eastAsia="仿宋" w:cs="仿宋"/>
                <w:b/>
                <w:color w:val="00B0F0"/>
                <w:kern w:val="0"/>
                <w:sz w:val="24"/>
              </w:rPr>
              <w:t>53.93%</w:t>
            </w:r>
          </w:p>
        </w:tc>
      </w:tr>
      <w:tr>
        <w:tblPrEx>
          <w:tblCellMar>
            <w:top w:w="0" w:type="dxa"/>
            <w:left w:w="0" w:type="dxa"/>
            <w:bottom w:w="0" w:type="dxa"/>
            <w:right w:w="0" w:type="dxa"/>
          </w:tblCellMar>
        </w:tblPrEx>
        <w:trPr>
          <w:trHeight w:val="400" w:hRule="atLeast"/>
        </w:trPr>
        <w:tc>
          <w:tcPr>
            <w:tcW w:w="0" w:type="auto"/>
            <w:gridSpan w:val="19"/>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注：类型A为理论课、类型B为例为理论+实践课、类型C为实践课。</w:t>
            </w:r>
          </w:p>
        </w:tc>
      </w:tr>
    </w:tbl>
    <w:p>
      <w:pPr>
        <w:spacing w:line="620" w:lineRule="exact"/>
        <w:outlineLvl w:val="1"/>
        <w:rPr>
          <w:sz w:val="18"/>
          <w:szCs w:val="18"/>
        </w:rPr>
        <w:sectPr>
          <w:pgSz w:w="16783" w:h="11850" w:orient="landscape"/>
          <w:pgMar w:top="1213" w:right="1383" w:bottom="1213" w:left="1383" w:header="851" w:footer="992" w:gutter="0"/>
          <w:cols w:space="720" w:num="1"/>
          <w:docGrid w:type="lines" w:linePitch="312" w:charSpace="0"/>
        </w:sectPr>
      </w:pPr>
    </w:p>
    <w:p>
      <w:pPr>
        <w:spacing w:line="480" w:lineRule="exact"/>
        <w:outlineLvl w:val="0"/>
        <w:rPr>
          <w:rFonts w:ascii="黑体" w:eastAsia="黑体"/>
          <w:sz w:val="32"/>
          <w:szCs w:val="32"/>
        </w:rPr>
      </w:pPr>
      <w:r>
        <w:rPr>
          <w:rFonts w:hint="eastAsia" w:ascii="黑体" w:eastAsia="黑体"/>
          <w:sz w:val="32"/>
          <w:szCs w:val="32"/>
        </w:rPr>
        <w:t>八、实施保障</w:t>
      </w:r>
      <w:bookmarkEnd w:id="35"/>
    </w:p>
    <w:p>
      <w:pPr>
        <w:keepNext/>
        <w:keepLines/>
        <w:spacing w:before="100" w:after="80" w:line="480" w:lineRule="exact"/>
        <w:jc w:val="left"/>
        <w:outlineLvl w:val="1"/>
        <w:rPr>
          <w:rFonts w:ascii="仿宋" w:hAnsi="仿宋" w:eastAsia="仿宋" w:cs="仿宋"/>
          <w:b/>
          <w:kern w:val="0"/>
          <w:sz w:val="32"/>
          <w:szCs w:val="20"/>
        </w:rPr>
      </w:pPr>
      <w:bookmarkStart w:id="36" w:name="_Toc355954830"/>
      <w:r>
        <w:rPr>
          <w:rFonts w:hint="eastAsia" w:eastAsia="仿宋"/>
          <w:b/>
          <w:bCs/>
          <w:sz w:val="28"/>
        </w:rPr>
        <w:t>（一）师资要求</w:t>
      </w:r>
      <w:bookmarkEnd w:id="36"/>
      <w:r>
        <w:rPr>
          <w:rFonts w:hint="eastAsia" w:ascii="仿宋" w:hAnsi="仿宋" w:eastAsia="仿宋" w:cs="仿宋"/>
          <w:b/>
          <w:kern w:val="0"/>
          <w:sz w:val="32"/>
          <w:szCs w:val="20"/>
        </w:rPr>
        <w:t xml:space="preserve"> </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1.教师数与结构</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 xml:space="preserve"> 本专业现有专业教师11人，其中高级教师6人，初级教师5人，专业教师中“双师型”教师达到45.45%。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2.专任教师</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近年来专任教师努力践行“三教改革”不断提升自己，所有专任教师均有每两年不少于两个月的下企业实践经历；有良好的师德，关注学生发展；全部为本科以上学历，具有中等职业学校教师资格证书；熟悉教学规律，具备终生学习能力和教学创新、专业科研的能力。</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3.专业带头人</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龙再英，女，大学本科，生物科学专业，2002年12月参加工作，休闲农业生产与经营专业带头人。工作期间，曾发表过教学论文3篇，参加省级科研论文评选荣获三等奖、县级教学论文竞赛荣获二等奖；2015年指导学生参加贵州省园林植物修剪技能大赛荣获2个三等奖，2016年指导学生参加贵州省园林植物修剪与整形技能大赛荣获1个二等奖。</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4.兼职教师</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兼职教师是松桃县农业局土肥站高级农艺师、松桃县职业培育机构种植专业高级教师，能严格遵守国家法律法规，具备良好的思想政治素质、职业道德和工匠精神；具有扎实的专业知识和丰富的实际工作经验；能承担专业课程教学、实习实训指导和学生职业发展规划指导等教学任务。</w:t>
      </w:r>
    </w:p>
    <w:p>
      <w:pPr>
        <w:spacing w:line="480" w:lineRule="exact"/>
        <w:ind w:firstLine="480" w:firstLineChars="200"/>
        <w:jc w:val="center"/>
        <w:rPr>
          <w:rFonts w:ascii="仿宋" w:hAnsi="仿宋" w:eastAsia="仿宋" w:cs="仿宋"/>
          <w:color w:val="000000" w:themeColor="text1"/>
          <w:sz w:val="24"/>
        </w:rPr>
      </w:pPr>
    </w:p>
    <w:p>
      <w:pPr>
        <w:spacing w:line="480" w:lineRule="exact"/>
        <w:ind w:firstLine="480" w:firstLineChars="200"/>
        <w:jc w:val="center"/>
        <w:rPr>
          <w:rFonts w:ascii="仿宋" w:hAnsi="仿宋" w:eastAsia="仿宋" w:cs="仿宋"/>
          <w:color w:val="000000" w:themeColor="text1"/>
          <w:sz w:val="24"/>
        </w:rPr>
      </w:pPr>
    </w:p>
    <w:p>
      <w:pPr>
        <w:spacing w:line="480" w:lineRule="exact"/>
        <w:ind w:firstLine="480" w:firstLineChars="200"/>
        <w:jc w:val="center"/>
        <w:rPr>
          <w:rFonts w:ascii="仿宋" w:hAnsi="仿宋" w:eastAsia="仿宋" w:cs="仿宋"/>
          <w:color w:val="000000" w:themeColor="text1"/>
          <w:sz w:val="24"/>
        </w:rPr>
      </w:pPr>
    </w:p>
    <w:p>
      <w:pPr>
        <w:spacing w:line="480" w:lineRule="exact"/>
        <w:ind w:firstLine="480" w:firstLineChars="200"/>
        <w:jc w:val="center"/>
        <w:rPr>
          <w:rFonts w:ascii="仿宋" w:hAnsi="仿宋" w:eastAsia="仿宋" w:cs="仿宋"/>
          <w:color w:val="000000" w:themeColor="text1"/>
          <w:sz w:val="24"/>
        </w:rPr>
      </w:pPr>
    </w:p>
    <w:p>
      <w:pPr>
        <w:spacing w:line="480" w:lineRule="exact"/>
        <w:ind w:firstLine="480" w:firstLineChars="200"/>
        <w:jc w:val="center"/>
        <w:rPr>
          <w:rFonts w:ascii="宋体" w:hAnsi="宋体" w:cs="宋体"/>
          <w:sz w:val="28"/>
          <w:szCs w:val="28"/>
        </w:rPr>
      </w:pPr>
      <w:r>
        <w:rPr>
          <w:rFonts w:hint="eastAsia" w:ascii="仿宋" w:hAnsi="仿宋" w:eastAsia="仿宋" w:cs="仿宋"/>
          <w:color w:val="000000" w:themeColor="text1"/>
          <w:sz w:val="24"/>
        </w:rPr>
        <w:t>表13：专业教师基本结构</w:t>
      </w:r>
    </w:p>
    <w:tbl>
      <w:tblPr>
        <w:tblStyle w:val="14"/>
        <w:tblW w:w="9062"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496"/>
        <w:gridCol w:w="458"/>
        <w:gridCol w:w="516"/>
        <w:gridCol w:w="466"/>
        <w:gridCol w:w="756"/>
        <w:gridCol w:w="372"/>
        <w:gridCol w:w="684"/>
        <w:gridCol w:w="324"/>
        <w:gridCol w:w="684"/>
        <w:gridCol w:w="396"/>
        <w:gridCol w:w="720"/>
        <w:gridCol w:w="348"/>
        <w:gridCol w:w="708"/>
        <w:gridCol w:w="336"/>
        <w:gridCol w:w="245"/>
        <w:gridCol w:w="415"/>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gridSpan w:val="4"/>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教师来源</w:t>
            </w:r>
          </w:p>
        </w:tc>
        <w:tc>
          <w:tcPr>
            <w:tcW w:w="2278" w:type="dxa"/>
            <w:gridSpan w:val="4"/>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教师学历</w:t>
            </w:r>
          </w:p>
        </w:tc>
        <w:tc>
          <w:tcPr>
            <w:tcW w:w="2124" w:type="dxa"/>
            <w:gridSpan w:val="4"/>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教师职称</w:t>
            </w:r>
          </w:p>
        </w:tc>
        <w:tc>
          <w:tcPr>
            <w:tcW w:w="1637" w:type="dxa"/>
            <w:gridSpan w:val="4"/>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技能资格证教师</w:t>
            </w:r>
          </w:p>
        </w:tc>
        <w:tc>
          <w:tcPr>
            <w:tcW w:w="1111" w:type="dxa"/>
            <w:gridSpan w:val="2"/>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938"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在职在编</w:t>
            </w:r>
          </w:p>
        </w:tc>
        <w:tc>
          <w:tcPr>
            <w:tcW w:w="974" w:type="dxa"/>
            <w:gridSpan w:val="2"/>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外聘</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（兼职）</w:t>
            </w:r>
          </w:p>
        </w:tc>
        <w:tc>
          <w:tcPr>
            <w:tcW w:w="1222"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本科以本科以上学历</w:t>
            </w:r>
          </w:p>
        </w:tc>
        <w:tc>
          <w:tcPr>
            <w:tcW w:w="1056"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专科</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学历</w:t>
            </w:r>
          </w:p>
        </w:tc>
        <w:tc>
          <w:tcPr>
            <w:tcW w:w="1008" w:type="dxa"/>
            <w:gridSpan w:val="2"/>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高、中</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级职称</w:t>
            </w:r>
          </w:p>
        </w:tc>
        <w:tc>
          <w:tcPr>
            <w:tcW w:w="1116"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初级职称</w:t>
            </w:r>
          </w:p>
        </w:tc>
        <w:tc>
          <w:tcPr>
            <w:tcW w:w="1056"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高、中级</w:t>
            </w:r>
          </w:p>
        </w:tc>
        <w:tc>
          <w:tcPr>
            <w:tcW w:w="581" w:type="dxa"/>
            <w:gridSpan w:val="2"/>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初级</w:t>
            </w:r>
          </w:p>
        </w:tc>
        <w:tc>
          <w:tcPr>
            <w:tcW w:w="415" w:type="dxa"/>
            <w:vMerge w:val="restart"/>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696" w:type="dxa"/>
            <w:vMerge w:val="restart"/>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496" w:type="dxa"/>
            <w:vAlign w:val="center"/>
          </w:tcPr>
          <w:p>
            <w:pPr>
              <w:spacing w:line="360" w:lineRule="exact"/>
              <w:jc w:val="center"/>
              <w:rPr>
                <w:rFonts w:ascii="仿宋" w:hAnsi="仿宋" w:eastAsia="仿宋" w:cs="仿宋"/>
                <w:color w:val="000000"/>
                <w:sz w:val="15"/>
                <w:szCs w:val="15"/>
              </w:rPr>
            </w:pP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458"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516"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466"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756"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372"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684"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324"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684"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396"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720"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348"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708"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336"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人数</w:t>
            </w:r>
          </w:p>
        </w:tc>
        <w:tc>
          <w:tcPr>
            <w:tcW w:w="245" w:type="dxa"/>
            <w:vAlign w:val="center"/>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占总</w:t>
            </w:r>
          </w:p>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数%</w:t>
            </w:r>
          </w:p>
        </w:tc>
        <w:tc>
          <w:tcPr>
            <w:tcW w:w="415" w:type="dxa"/>
            <w:vMerge w:val="continue"/>
          </w:tcPr>
          <w:p>
            <w:pPr>
              <w:spacing w:line="360" w:lineRule="exact"/>
              <w:jc w:val="center"/>
              <w:rPr>
                <w:rFonts w:ascii="仿宋" w:hAnsi="仿宋" w:eastAsia="仿宋" w:cs="仿宋"/>
                <w:color w:val="000000"/>
                <w:sz w:val="15"/>
                <w:szCs w:val="15"/>
              </w:rPr>
            </w:pPr>
          </w:p>
        </w:tc>
        <w:tc>
          <w:tcPr>
            <w:tcW w:w="696" w:type="dxa"/>
            <w:vMerge w:val="continue"/>
          </w:tcPr>
          <w:p>
            <w:pPr>
              <w:spacing w:line="360" w:lineRule="exact"/>
              <w:jc w:val="center"/>
              <w:rPr>
                <w:rFonts w:ascii="仿宋" w:hAnsi="仿宋" w:eastAsia="仿宋" w:cs="仿宋"/>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42" w:type="dxa"/>
          </w:tcPr>
          <w:p>
            <w:pPr>
              <w:spacing w:line="360" w:lineRule="exact"/>
              <w:jc w:val="center"/>
              <w:rPr>
                <w:rFonts w:hint="default"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11</w:t>
            </w:r>
          </w:p>
        </w:tc>
        <w:tc>
          <w:tcPr>
            <w:tcW w:w="496"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85</w:t>
            </w:r>
            <w:r>
              <w:rPr>
                <w:rFonts w:hint="eastAsia" w:ascii="仿宋" w:hAnsi="仿宋" w:eastAsia="仿宋" w:cs="仿宋"/>
                <w:color w:val="000000"/>
                <w:sz w:val="15"/>
                <w:szCs w:val="15"/>
              </w:rPr>
              <w:t>%</w:t>
            </w:r>
          </w:p>
        </w:tc>
        <w:tc>
          <w:tcPr>
            <w:tcW w:w="458"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2</w:t>
            </w:r>
          </w:p>
        </w:tc>
        <w:tc>
          <w:tcPr>
            <w:tcW w:w="516"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15</w:t>
            </w:r>
            <w:r>
              <w:rPr>
                <w:rFonts w:hint="eastAsia" w:ascii="仿宋" w:hAnsi="仿宋" w:eastAsia="仿宋" w:cs="仿宋"/>
                <w:color w:val="000000"/>
                <w:sz w:val="15"/>
                <w:szCs w:val="15"/>
              </w:rPr>
              <w:t>%</w:t>
            </w:r>
          </w:p>
        </w:tc>
        <w:tc>
          <w:tcPr>
            <w:tcW w:w="466" w:type="dxa"/>
          </w:tcPr>
          <w:p>
            <w:pPr>
              <w:spacing w:line="360" w:lineRule="exact"/>
              <w:jc w:val="center"/>
              <w:rPr>
                <w:rFonts w:hint="default"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12</w:t>
            </w:r>
          </w:p>
        </w:tc>
        <w:tc>
          <w:tcPr>
            <w:tcW w:w="756"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92.3</w:t>
            </w:r>
            <w:r>
              <w:rPr>
                <w:rFonts w:hint="eastAsia" w:ascii="仿宋" w:hAnsi="仿宋" w:eastAsia="仿宋" w:cs="仿宋"/>
                <w:color w:val="000000"/>
                <w:sz w:val="15"/>
                <w:szCs w:val="15"/>
              </w:rPr>
              <w:t>%</w:t>
            </w:r>
          </w:p>
        </w:tc>
        <w:tc>
          <w:tcPr>
            <w:tcW w:w="372"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1</w:t>
            </w:r>
          </w:p>
        </w:tc>
        <w:tc>
          <w:tcPr>
            <w:tcW w:w="684"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7.69</w:t>
            </w:r>
            <w:r>
              <w:rPr>
                <w:rFonts w:hint="eastAsia" w:ascii="仿宋" w:hAnsi="仿宋" w:eastAsia="仿宋" w:cs="仿宋"/>
                <w:color w:val="000000"/>
                <w:sz w:val="15"/>
                <w:szCs w:val="15"/>
              </w:rPr>
              <w:t>%</w:t>
            </w:r>
          </w:p>
        </w:tc>
        <w:tc>
          <w:tcPr>
            <w:tcW w:w="324" w:type="dxa"/>
          </w:tcPr>
          <w:p>
            <w:pPr>
              <w:spacing w:line="360" w:lineRule="exact"/>
              <w:jc w:val="center"/>
              <w:rPr>
                <w:rFonts w:hint="eastAsia" w:ascii="仿宋" w:hAnsi="仿宋" w:eastAsia="仿宋" w:cs="仿宋"/>
                <w:color w:val="000000"/>
                <w:sz w:val="15"/>
                <w:szCs w:val="15"/>
                <w:lang w:eastAsia="zh-CN"/>
              </w:rPr>
            </w:pPr>
            <w:r>
              <w:rPr>
                <w:rFonts w:hint="eastAsia" w:ascii="仿宋" w:hAnsi="仿宋" w:eastAsia="仿宋" w:cs="仿宋"/>
                <w:color w:val="000000"/>
                <w:sz w:val="15"/>
                <w:szCs w:val="15"/>
                <w:lang w:val="en-US" w:eastAsia="zh-CN"/>
              </w:rPr>
              <w:t>7</w:t>
            </w:r>
          </w:p>
        </w:tc>
        <w:tc>
          <w:tcPr>
            <w:tcW w:w="684"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53.85</w:t>
            </w:r>
            <w:r>
              <w:rPr>
                <w:rFonts w:hint="eastAsia" w:ascii="仿宋" w:hAnsi="仿宋" w:eastAsia="仿宋" w:cs="仿宋"/>
                <w:color w:val="000000"/>
                <w:sz w:val="15"/>
                <w:szCs w:val="15"/>
              </w:rPr>
              <w:t>%</w:t>
            </w:r>
          </w:p>
        </w:tc>
        <w:tc>
          <w:tcPr>
            <w:tcW w:w="396" w:type="dxa"/>
          </w:tcPr>
          <w:p>
            <w:pPr>
              <w:spacing w:line="360" w:lineRule="exact"/>
              <w:jc w:val="center"/>
              <w:rPr>
                <w:rFonts w:hint="eastAsia" w:ascii="仿宋" w:hAnsi="仿宋" w:eastAsia="仿宋" w:cs="仿宋"/>
                <w:color w:val="000000"/>
                <w:sz w:val="15"/>
                <w:szCs w:val="15"/>
                <w:lang w:eastAsia="zh-CN"/>
              </w:rPr>
            </w:pPr>
            <w:r>
              <w:rPr>
                <w:rFonts w:hint="eastAsia" w:ascii="仿宋" w:hAnsi="仿宋" w:eastAsia="仿宋" w:cs="仿宋"/>
                <w:color w:val="000000"/>
                <w:sz w:val="15"/>
                <w:szCs w:val="15"/>
                <w:lang w:val="en-US" w:eastAsia="zh-CN"/>
              </w:rPr>
              <w:t>6</w:t>
            </w:r>
          </w:p>
        </w:tc>
        <w:tc>
          <w:tcPr>
            <w:tcW w:w="720"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46.15</w:t>
            </w:r>
            <w:r>
              <w:rPr>
                <w:rFonts w:hint="eastAsia" w:ascii="仿宋" w:hAnsi="仿宋" w:eastAsia="仿宋" w:cs="仿宋"/>
                <w:color w:val="000000"/>
                <w:sz w:val="15"/>
                <w:szCs w:val="15"/>
              </w:rPr>
              <w:t>%</w:t>
            </w:r>
          </w:p>
        </w:tc>
        <w:tc>
          <w:tcPr>
            <w:tcW w:w="348"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5</w:t>
            </w:r>
          </w:p>
        </w:tc>
        <w:tc>
          <w:tcPr>
            <w:tcW w:w="708"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38.46</w:t>
            </w:r>
            <w:r>
              <w:rPr>
                <w:rFonts w:hint="eastAsia" w:ascii="仿宋" w:hAnsi="仿宋" w:eastAsia="仿宋" w:cs="仿宋"/>
                <w:color w:val="000000"/>
                <w:sz w:val="15"/>
                <w:szCs w:val="15"/>
              </w:rPr>
              <w:t>%</w:t>
            </w:r>
          </w:p>
        </w:tc>
        <w:tc>
          <w:tcPr>
            <w:tcW w:w="336"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0</w:t>
            </w:r>
          </w:p>
        </w:tc>
        <w:tc>
          <w:tcPr>
            <w:tcW w:w="245"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0</w:t>
            </w:r>
          </w:p>
        </w:tc>
        <w:tc>
          <w:tcPr>
            <w:tcW w:w="415"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rPr>
              <w:t>4</w:t>
            </w:r>
          </w:p>
        </w:tc>
        <w:tc>
          <w:tcPr>
            <w:tcW w:w="696" w:type="dxa"/>
          </w:tcPr>
          <w:p>
            <w:pPr>
              <w:spacing w:line="360" w:lineRule="exact"/>
              <w:jc w:val="center"/>
              <w:rPr>
                <w:rFonts w:ascii="仿宋" w:hAnsi="仿宋" w:eastAsia="仿宋" w:cs="仿宋"/>
                <w:color w:val="000000"/>
                <w:sz w:val="15"/>
                <w:szCs w:val="15"/>
              </w:rPr>
            </w:pPr>
            <w:r>
              <w:rPr>
                <w:rFonts w:hint="eastAsia" w:ascii="仿宋" w:hAnsi="仿宋" w:eastAsia="仿宋" w:cs="仿宋"/>
                <w:color w:val="000000"/>
                <w:sz w:val="15"/>
                <w:szCs w:val="15"/>
                <w:lang w:val="en-US" w:eastAsia="zh-CN"/>
              </w:rPr>
              <w:t>30.78</w:t>
            </w:r>
            <w:r>
              <w:rPr>
                <w:rFonts w:hint="eastAsia" w:ascii="仿宋" w:hAnsi="仿宋" w:eastAsia="仿宋" w:cs="仿宋"/>
                <w:color w:val="000000"/>
                <w:sz w:val="15"/>
                <w:szCs w:val="15"/>
              </w:rPr>
              <w:t>%</w:t>
            </w:r>
          </w:p>
        </w:tc>
      </w:tr>
    </w:tbl>
    <w:p>
      <w:pPr>
        <w:spacing w:line="620" w:lineRule="exact"/>
        <w:jc w:val="center"/>
        <w:outlineLvl w:val="1"/>
        <w:rPr>
          <w:rFonts w:eastAsia="仿宋"/>
          <w:szCs w:val="21"/>
        </w:rPr>
      </w:pPr>
      <w:r>
        <w:rPr>
          <w:rFonts w:hint="eastAsia" w:ascii="仿宋" w:hAnsi="仿宋" w:eastAsia="仿宋" w:cs="仿宋"/>
          <w:color w:val="000000" w:themeColor="text1"/>
          <w:sz w:val="24"/>
        </w:rPr>
        <w:t>表14：休闲农业生产与经营专业教师一览表</w:t>
      </w:r>
    </w:p>
    <w:tbl>
      <w:tblPr>
        <w:tblStyle w:val="14"/>
        <w:tblW w:w="9096"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
        <w:gridCol w:w="366"/>
        <w:gridCol w:w="860"/>
        <w:gridCol w:w="425"/>
        <w:gridCol w:w="446"/>
        <w:gridCol w:w="621"/>
        <w:gridCol w:w="675"/>
        <w:gridCol w:w="893"/>
        <w:gridCol w:w="730"/>
        <w:gridCol w:w="1307"/>
        <w:gridCol w:w="152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序号</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类别</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教师姓名</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性别</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年龄</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学历</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在编或外聘</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职称</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技能资格证</w:t>
            </w:r>
          </w:p>
        </w:tc>
        <w:tc>
          <w:tcPr>
            <w:tcW w:w="152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具备的能力</w:t>
            </w:r>
          </w:p>
        </w:tc>
        <w:tc>
          <w:tcPr>
            <w:tcW w:w="79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1</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邓丰清</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59</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生物</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高级技师</w:t>
            </w:r>
          </w:p>
        </w:tc>
        <w:tc>
          <w:tcPr>
            <w:tcW w:w="1527" w:type="dxa"/>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具备农作物生产的理论教学、实训指导及专业教材的研发等能力。</w:t>
            </w:r>
          </w:p>
        </w:tc>
        <w:tc>
          <w:tcPr>
            <w:tcW w:w="795" w:type="dxa"/>
          </w:tcPr>
          <w:p>
            <w:pPr>
              <w:spacing w:line="360" w:lineRule="exact"/>
              <w:jc w:val="left"/>
              <w:rPr>
                <w:rFonts w:ascii="仿宋" w:hAnsi="仿宋" w:eastAsia="仿宋" w:cs="仿宋"/>
                <w:color w:val="000000"/>
                <w:sz w:val="18"/>
                <w:szCs w:val="18"/>
              </w:rPr>
            </w:pPr>
            <w:r>
              <w:rPr>
                <w:rFonts w:hint="eastAsia" w:ascii="仿宋" w:hAnsi="仿宋" w:eastAsia="仿宋" w:cs="仿宋"/>
                <w:color w:val="000000"/>
                <w:sz w:val="18"/>
                <w:szCs w:val="18"/>
              </w:rPr>
              <w:t>职业教育专家、</w:t>
            </w:r>
          </w:p>
          <w:p>
            <w:pPr>
              <w:spacing w:line="360" w:lineRule="exact"/>
              <w:jc w:val="left"/>
              <w:rPr>
                <w:rFonts w:ascii="仿宋" w:hAnsi="仿宋" w:eastAsia="仿宋" w:cs="仿宋"/>
                <w:color w:val="000000"/>
                <w:sz w:val="18"/>
                <w:szCs w:val="18"/>
              </w:rPr>
            </w:pPr>
            <w:r>
              <w:rPr>
                <w:rFonts w:hint="eastAsia" w:ascii="仿宋" w:hAnsi="仿宋" w:eastAsia="仿宋" w:cs="仿宋"/>
                <w:color w:val="000000"/>
                <w:sz w:val="18"/>
                <w:szCs w:val="18"/>
              </w:rPr>
              <w:t>双师型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2</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田儒松</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50</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畜牧</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家畜饲养高级工</w:t>
            </w: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具备特种动物养殖的理论教学、实训指导及专业科研等能力。</w:t>
            </w:r>
          </w:p>
        </w:tc>
        <w:tc>
          <w:tcPr>
            <w:tcW w:w="79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双师型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杨政清</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53</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兽医</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职业兽医师</w:t>
            </w: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具备特种动物养殖的理论教学、实训指导及病理分析等能力。</w:t>
            </w:r>
          </w:p>
        </w:tc>
        <w:tc>
          <w:tcPr>
            <w:tcW w:w="79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双师型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4</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龙再英</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女</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38</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生物科学</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高级园艺师</w:t>
            </w: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具备蔬菜、果树、花卉栽培的理论教学、实训指导及专业科研等能力。</w:t>
            </w:r>
          </w:p>
        </w:tc>
        <w:tc>
          <w:tcPr>
            <w:tcW w:w="79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专业带头人、双师型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5</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许燕</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女</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30</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农学</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eastAsia="zh-CN"/>
              </w:rPr>
              <w:t>中级</w:t>
            </w:r>
          </w:p>
        </w:tc>
        <w:tc>
          <w:tcPr>
            <w:tcW w:w="1307" w:type="dxa"/>
            <w:vAlign w:val="center"/>
          </w:tcPr>
          <w:p>
            <w:pPr>
              <w:spacing w:line="360" w:lineRule="exact"/>
              <w:jc w:val="center"/>
              <w:rPr>
                <w:rFonts w:ascii="仿宋" w:hAnsi="仿宋" w:eastAsia="仿宋" w:cs="仿宋"/>
                <w:color w:val="000000"/>
                <w:sz w:val="18"/>
                <w:szCs w:val="18"/>
              </w:rPr>
            </w:pP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具备蔬菜、果树、花卉栽培的理论教学、实训指导及专业科研等能力。</w:t>
            </w:r>
          </w:p>
        </w:tc>
        <w:tc>
          <w:tcPr>
            <w:tcW w:w="795" w:type="dxa"/>
            <w:vAlign w:val="center"/>
          </w:tcPr>
          <w:p>
            <w:pPr>
              <w:spacing w:line="360" w:lineRule="exact"/>
              <w:jc w:val="center"/>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eastAsia="zh-CN"/>
              </w:rPr>
              <w:t>专业组长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6</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蒲国顺</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31</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食品科学与工程　</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初级</w:t>
            </w:r>
          </w:p>
        </w:tc>
        <w:tc>
          <w:tcPr>
            <w:tcW w:w="1307" w:type="dxa"/>
            <w:vAlign w:val="center"/>
          </w:tcPr>
          <w:p>
            <w:pPr>
              <w:spacing w:line="360" w:lineRule="exact"/>
              <w:jc w:val="center"/>
              <w:rPr>
                <w:rFonts w:ascii="仿宋" w:hAnsi="仿宋" w:eastAsia="仿宋" w:cs="仿宋"/>
                <w:color w:val="000000"/>
                <w:sz w:val="18"/>
                <w:szCs w:val="18"/>
              </w:rPr>
            </w:pP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具备农产品加工的实训指导及农产品研发、创新的能力。</w:t>
            </w:r>
          </w:p>
        </w:tc>
        <w:tc>
          <w:tcPr>
            <w:tcW w:w="795" w:type="dxa"/>
            <w:vAlign w:val="center"/>
          </w:tcPr>
          <w:p>
            <w:pPr>
              <w:spacing w:line="360" w:lineRule="exact"/>
              <w:jc w:val="center"/>
              <w:rPr>
                <w:rFonts w:ascii="仿宋" w:hAnsi="仿宋" w:eastAsia="仿宋" w:cs="仿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7</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任玲</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女</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26</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园艺</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初级</w:t>
            </w:r>
          </w:p>
        </w:tc>
        <w:tc>
          <w:tcPr>
            <w:tcW w:w="1307" w:type="dxa"/>
            <w:vAlign w:val="center"/>
          </w:tcPr>
          <w:p>
            <w:pPr>
              <w:spacing w:line="360" w:lineRule="exact"/>
              <w:jc w:val="center"/>
              <w:rPr>
                <w:rFonts w:ascii="仿宋" w:hAnsi="仿宋" w:eastAsia="仿宋" w:cs="仿宋"/>
                <w:color w:val="000000"/>
                <w:sz w:val="18"/>
                <w:szCs w:val="18"/>
              </w:rPr>
            </w:pP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具备蔬菜、花卉栽培的理论教学、实训指导及园林规划设计的能力。</w:t>
            </w:r>
          </w:p>
        </w:tc>
        <w:tc>
          <w:tcPr>
            <w:tcW w:w="795" w:type="dxa"/>
            <w:vAlign w:val="center"/>
          </w:tcPr>
          <w:p>
            <w:pPr>
              <w:spacing w:line="360" w:lineRule="exact"/>
              <w:jc w:val="center"/>
              <w:rPr>
                <w:rFonts w:ascii="仿宋" w:hAnsi="仿宋" w:eastAsia="仿宋" w:cs="仿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8</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宋必</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女</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33</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研究生</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植物保护</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初级</w:t>
            </w:r>
          </w:p>
        </w:tc>
        <w:tc>
          <w:tcPr>
            <w:tcW w:w="1307" w:type="dxa"/>
            <w:vAlign w:val="center"/>
          </w:tcPr>
          <w:p>
            <w:pPr>
              <w:spacing w:line="360" w:lineRule="exact"/>
              <w:jc w:val="center"/>
              <w:rPr>
                <w:rFonts w:ascii="仿宋" w:hAnsi="仿宋" w:eastAsia="仿宋" w:cs="仿宋"/>
                <w:color w:val="000000"/>
                <w:sz w:val="18"/>
                <w:szCs w:val="18"/>
              </w:rPr>
            </w:pP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具备植物病虫害防治的理论教学、实训指导及专业科研的能力。</w:t>
            </w:r>
          </w:p>
        </w:tc>
        <w:tc>
          <w:tcPr>
            <w:tcW w:w="795" w:type="dxa"/>
            <w:vAlign w:val="center"/>
          </w:tcPr>
          <w:p>
            <w:pPr>
              <w:spacing w:line="360" w:lineRule="exact"/>
              <w:jc w:val="center"/>
              <w:rPr>
                <w:rFonts w:ascii="仿宋" w:hAnsi="仿宋" w:eastAsia="仿宋" w:cs="仿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9</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专业教师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周渊</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女</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30</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研究生</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农业昆虫与害虫防治</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在编</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初级</w:t>
            </w:r>
          </w:p>
        </w:tc>
        <w:tc>
          <w:tcPr>
            <w:tcW w:w="1307" w:type="dxa"/>
            <w:vAlign w:val="center"/>
          </w:tcPr>
          <w:p>
            <w:pPr>
              <w:spacing w:line="360" w:lineRule="exact"/>
              <w:jc w:val="center"/>
              <w:rPr>
                <w:rFonts w:ascii="仿宋" w:hAnsi="仿宋" w:eastAsia="仿宋" w:cs="仿宋"/>
                <w:color w:val="000000"/>
                <w:sz w:val="18"/>
                <w:szCs w:val="18"/>
              </w:rPr>
            </w:pP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具备植物病虫害防治的理论教学、实训指导及专业科研的能力。</w:t>
            </w:r>
          </w:p>
        </w:tc>
        <w:tc>
          <w:tcPr>
            <w:tcW w:w="795" w:type="dxa"/>
            <w:vAlign w:val="center"/>
          </w:tcPr>
          <w:p>
            <w:pPr>
              <w:spacing w:line="360" w:lineRule="exact"/>
              <w:jc w:val="center"/>
              <w:rPr>
                <w:rFonts w:ascii="仿宋" w:hAnsi="仿宋" w:eastAsia="仿宋" w:cs="仿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10</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外聘教师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滕树川</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67</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大专</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农学</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外聘</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高级农艺师</w:t>
            </w: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具备农作物生产的理论教学、实训指导及推广新技术的能力。</w:t>
            </w:r>
          </w:p>
        </w:tc>
        <w:tc>
          <w:tcPr>
            <w:tcW w:w="795" w:type="dxa"/>
            <w:vAlign w:val="center"/>
          </w:tcPr>
          <w:p>
            <w:pPr>
              <w:spacing w:line="360" w:lineRule="exact"/>
              <w:jc w:val="center"/>
              <w:rPr>
                <w:rFonts w:ascii="仿宋" w:hAnsi="仿宋" w:eastAsia="仿宋" w:cs="仿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5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11</w:t>
            </w:r>
          </w:p>
        </w:tc>
        <w:tc>
          <w:tcPr>
            <w:tcW w:w="36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外聘教师</w:t>
            </w:r>
          </w:p>
        </w:tc>
        <w:tc>
          <w:tcPr>
            <w:tcW w:w="86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杨光德</w:t>
            </w:r>
          </w:p>
        </w:tc>
        <w:tc>
          <w:tcPr>
            <w:tcW w:w="42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男</w:t>
            </w:r>
          </w:p>
        </w:tc>
        <w:tc>
          <w:tcPr>
            <w:tcW w:w="446"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58</w:t>
            </w:r>
          </w:p>
        </w:tc>
        <w:tc>
          <w:tcPr>
            <w:tcW w:w="621"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本科</w:t>
            </w:r>
          </w:p>
        </w:tc>
        <w:tc>
          <w:tcPr>
            <w:tcW w:w="675"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生物</w:t>
            </w:r>
          </w:p>
        </w:tc>
        <w:tc>
          <w:tcPr>
            <w:tcW w:w="893"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外聘</w:t>
            </w:r>
          </w:p>
        </w:tc>
        <w:tc>
          <w:tcPr>
            <w:tcW w:w="730"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w:t>
            </w:r>
          </w:p>
        </w:tc>
        <w:tc>
          <w:tcPr>
            <w:tcW w:w="1307" w:type="dxa"/>
            <w:vAlign w:val="center"/>
          </w:tcPr>
          <w:p>
            <w:pPr>
              <w:spacing w:line="360" w:lineRule="exact"/>
              <w:jc w:val="center"/>
              <w:rPr>
                <w:rFonts w:ascii="仿宋" w:hAnsi="仿宋" w:eastAsia="仿宋" w:cs="仿宋"/>
                <w:color w:val="000000"/>
                <w:sz w:val="18"/>
                <w:szCs w:val="18"/>
              </w:rPr>
            </w:pPr>
            <w:r>
              <w:rPr>
                <w:rFonts w:hint="eastAsia" w:ascii="仿宋" w:hAnsi="仿宋" w:eastAsia="仿宋" w:cs="仿宋"/>
                <w:color w:val="000000"/>
                <w:sz w:val="18"/>
                <w:szCs w:val="18"/>
              </w:rPr>
              <w:t>高级教师</w:t>
            </w:r>
          </w:p>
        </w:tc>
        <w:tc>
          <w:tcPr>
            <w:tcW w:w="1527" w:type="dxa"/>
            <w:vAlign w:val="center"/>
          </w:tcPr>
          <w:p>
            <w:pPr>
              <w:spacing w:line="360" w:lineRule="exact"/>
              <w:rPr>
                <w:rFonts w:ascii="仿宋" w:hAnsi="仿宋" w:eastAsia="仿宋" w:cs="仿宋"/>
                <w:color w:val="000000"/>
                <w:sz w:val="18"/>
                <w:szCs w:val="18"/>
              </w:rPr>
            </w:pPr>
            <w:r>
              <w:rPr>
                <w:rFonts w:hint="eastAsia" w:ascii="仿宋" w:hAnsi="仿宋" w:eastAsia="仿宋" w:cs="仿宋"/>
                <w:color w:val="000000"/>
                <w:sz w:val="18"/>
                <w:szCs w:val="18"/>
              </w:rPr>
              <w:t>具备蔬菜、果树栽培的理论教学、实训指导及推广新技术的能力。</w:t>
            </w:r>
          </w:p>
        </w:tc>
        <w:tc>
          <w:tcPr>
            <w:tcW w:w="795" w:type="dxa"/>
            <w:vAlign w:val="center"/>
          </w:tcPr>
          <w:p>
            <w:pPr>
              <w:spacing w:line="360" w:lineRule="exact"/>
              <w:jc w:val="center"/>
              <w:rPr>
                <w:rFonts w:ascii="仿宋" w:hAnsi="仿宋" w:eastAsia="仿宋" w:cs="仿宋"/>
                <w:color w:val="000000"/>
                <w:sz w:val="18"/>
                <w:szCs w:val="18"/>
              </w:rPr>
            </w:pPr>
          </w:p>
        </w:tc>
      </w:tr>
    </w:tbl>
    <w:p>
      <w:pPr>
        <w:keepNext/>
        <w:keepLines/>
        <w:spacing w:before="100" w:after="80" w:line="480" w:lineRule="exact"/>
        <w:jc w:val="left"/>
        <w:outlineLvl w:val="1"/>
        <w:rPr>
          <w:rFonts w:eastAsia="仿宋"/>
          <w:b/>
          <w:bCs/>
          <w:sz w:val="28"/>
        </w:rPr>
      </w:pPr>
      <w:bookmarkStart w:id="37" w:name="_Toc355954831"/>
      <w:r>
        <w:rPr>
          <w:rFonts w:hint="eastAsia" w:eastAsia="仿宋"/>
          <w:b/>
          <w:bCs/>
          <w:sz w:val="28"/>
        </w:rPr>
        <w:t>（二）教学设施</w:t>
      </w:r>
      <w:bookmarkEnd w:id="37"/>
    </w:p>
    <w:p>
      <w:pPr>
        <w:keepNext/>
        <w:keepLines/>
        <w:spacing w:line="480" w:lineRule="exact"/>
        <w:rPr>
          <w:rFonts w:ascii="仿宋_GB2312" w:eastAsia="仿宋_GB2312"/>
          <w:color w:val="000000"/>
          <w:sz w:val="28"/>
          <w:szCs w:val="28"/>
        </w:rPr>
      </w:pPr>
      <w:r>
        <w:rPr>
          <w:rFonts w:hint="eastAsia" w:ascii="仿宋_GB2312" w:eastAsia="仿宋_GB2312"/>
          <w:color w:val="000000"/>
          <w:sz w:val="28"/>
          <w:szCs w:val="28"/>
        </w:rPr>
        <w:t>　　</w:t>
      </w:r>
      <w:r>
        <w:rPr>
          <w:rFonts w:hint="eastAsia" w:ascii="仿宋" w:hAnsi="仿宋" w:eastAsia="仿宋" w:cs="宋体"/>
          <w:sz w:val="28"/>
          <w:szCs w:val="28"/>
        </w:rPr>
        <w:t>1.多媒体教室</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本专业基础课程教学使用多媒体教室，校内教学用教室应配备多媒体功能教学资源，主要设施设备及数量见下表：</w:t>
      </w:r>
    </w:p>
    <w:p>
      <w:pPr>
        <w:widowControl/>
        <w:spacing w:line="480" w:lineRule="exact"/>
        <w:jc w:val="center"/>
        <w:textAlignment w:val="center"/>
        <w:rPr>
          <w:rFonts w:ascii="仿宋" w:hAnsi="仿宋" w:eastAsia="仿宋" w:cs="仿宋"/>
          <w:color w:val="000000"/>
          <w:sz w:val="24"/>
        </w:rPr>
      </w:pPr>
    </w:p>
    <w:p>
      <w:pPr>
        <w:widowControl/>
        <w:spacing w:line="480" w:lineRule="exact"/>
        <w:jc w:val="center"/>
        <w:textAlignment w:val="center"/>
        <w:rPr>
          <w:rFonts w:ascii="仿宋" w:hAnsi="仿宋" w:eastAsia="仿宋" w:cs="仿宋"/>
          <w:color w:val="000000"/>
          <w:sz w:val="24"/>
        </w:rPr>
      </w:pPr>
    </w:p>
    <w:p>
      <w:pPr>
        <w:widowControl/>
        <w:spacing w:line="480" w:lineRule="exact"/>
        <w:jc w:val="center"/>
        <w:textAlignment w:val="center"/>
        <w:rPr>
          <w:rFonts w:ascii="仿宋" w:hAnsi="仿宋" w:eastAsia="仿宋" w:cs="仿宋"/>
          <w:color w:val="000000"/>
          <w:sz w:val="24"/>
        </w:rPr>
      </w:pPr>
    </w:p>
    <w:p>
      <w:pPr>
        <w:widowControl/>
        <w:spacing w:line="480" w:lineRule="exact"/>
        <w:jc w:val="center"/>
        <w:textAlignment w:val="center"/>
        <w:rPr>
          <w:rFonts w:ascii="仿宋" w:hAnsi="仿宋" w:eastAsia="仿宋" w:cs="仿宋"/>
          <w:color w:val="000000"/>
          <w:sz w:val="24"/>
        </w:rPr>
      </w:pPr>
    </w:p>
    <w:p>
      <w:pPr>
        <w:widowControl/>
        <w:spacing w:line="480" w:lineRule="exact"/>
        <w:jc w:val="center"/>
        <w:textAlignment w:val="center"/>
        <w:rPr>
          <w:rFonts w:ascii="仿宋" w:hAnsi="仿宋" w:eastAsia="仿宋" w:cs="仿宋"/>
          <w:color w:val="000000" w:themeColor="text1"/>
          <w:sz w:val="24"/>
        </w:rPr>
      </w:pPr>
      <w:r>
        <w:rPr>
          <w:rFonts w:hint="eastAsia" w:ascii="仿宋" w:hAnsi="仿宋" w:eastAsia="仿宋" w:cs="仿宋"/>
          <w:color w:val="000000"/>
          <w:sz w:val="24"/>
        </w:rPr>
        <w:t>表</w:t>
      </w:r>
      <w:r>
        <w:rPr>
          <w:rFonts w:hint="eastAsia" w:ascii="仿宋" w:hAnsi="仿宋" w:eastAsia="仿宋" w:cs="仿宋"/>
          <w:color w:val="000000" w:themeColor="text1"/>
          <w:sz w:val="24"/>
        </w:rPr>
        <w:t>15：多媒体教室主要设施设备统计表</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vAlign w:val="center"/>
          </w:tcPr>
          <w:p>
            <w:pPr>
              <w:jc w:val="center"/>
              <w:rPr>
                <w:rFonts w:eastAsia="仿宋"/>
                <w:sz w:val="24"/>
              </w:rPr>
            </w:pPr>
            <w:r>
              <w:rPr>
                <w:rFonts w:hint="eastAsia" w:eastAsia="仿宋"/>
                <w:sz w:val="24"/>
              </w:rPr>
              <w:t>序号</w:t>
            </w:r>
          </w:p>
        </w:tc>
        <w:tc>
          <w:tcPr>
            <w:tcW w:w="1903" w:type="dxa"/>
            <w:vMerge w:val="restart"/>
            <w:vAlign w:val="center"/>
          </w:tcPr>
          <w:p>
            <w:pPr>
              <w:jc w:val="center"/>
              <w:rPr>
                <w:rFonts w:eastAsia="仿宋"/>
                <w:sz w:val="24"/>
              </w:rPr>
            </w:pPr>
            <w:r>
              <w:rPr>
                <w:rFonts w:hint="eastAsia" w:eastAsia="仿宋"/>
                <w:sz w:val="24"/>
              </w:rPr>
              <w:t>教室</w:t>
            </w:r>
          </w:p>
        </w:tc>
        <w:tc>
          <w:tcPr>
            <w:tcW w:w="6606" w:type="dxa"/>
            <w:gridSpan w:val="2"/>
            <w:vAlign w:val="center"/>
          </w:tcPr>
          <w:p>
            <w:pPr>
              <w:jc w:val="center"/>
              <w:rPr>
                <w:rFonts w:eastAsia="仿宋"/>
                <w:sz w:val="24"/>
              </w:rPr>
            </w:pPr>
            <w:r>
              <w:rPr>
                <w:rFonts w:hint="eastAsia" w:eastAsia="仿宋"/>
                <w:sz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vAlign w:val="center"/>
          </w:tcPr>
          <w:p>
            <w:pPr>
              <w:jc w:val="center"/>
              <w:rPr>
                <w:rFonts w:eastAsia="仿宋"/>
                <w:sz w:val="24"/>
              </w:rPr>
            </w:pPr>
          </w:p>
        </w:tc>
        <w:tc>
          <w:tcPr>
            <w:tcW w:w="1903" w:type="dxa"/>
            <w:vMerge w:val="continue"/>
            <w:vAlign w:val="center"/>
          </w:tcPr>
          <w:p>
            <w:pPr>
              <w:jc w:val="center"/>
              <w:rPr>
                <w:rFonts w:eastAsia="仿宋"/>
                <w:sz w:val="24"/>
              </w:rPr>
            </w:pPr>
          </w:p>
        </w:tc>
        <w:tc>
          <w:tcPr>
            <w:tcW w:w="4680" w:type="dxa"/>
            <w:vAlign w:val="center"/>
          </w:tcPr>
          <w:p>
            <w:pPr>
              <w:jc w:val="center"/>
              <w:rPr>
                <w:rFonts w:eastAsia="仿宋"/>
                <w:sz w:val="24"/>
              </w:rPr>
            </w:pPr>
            <w:r>
              <w:rPr>
                <w:rFonts w:hint="eastAsia" w:eastAsia="仿宋"/>
                <w:sz w:val="24"/>
              </w:rPr>
              <w:t>名称</w:t>
            </w:r>
          </w:p>
        </w:tc>
        <w:tc>
          <w:tcPr>
            <w:tcW w:w="1926" w:type="dxa"/>
            <w:vAlign w:val="center"/>
          </w:tcPr>
          <w:p>
            <w:pPr>
              <w:jc w:val="center"/>
              <w:rPr>
                <w:rFonts w:eastAsia="仿宋"/>
                <w:sz w:val="24"/>
              </w:rPr>
            </w:pPr>
            <w:r>
              <w:rPr>
                <w:rFonts w:hint="eastAsia" w:eastAsia="仿宋"/>
                <w:sz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903" w:type="dxa"/>
            <w:vMerge w:val="restart"/>
            <w:vAlign w:val="center"/>
          </w:tcPr>
          <w:p>
            <w:pPr>
              <w:jc w:val="center"/>
              <w:rPr>
                <w:rFonts w:eastAsia="仿宋"/>
                <w:sz w:val="24"/>
              </w:rPr>
            </w:pPr>
            <w:r>
              <w:rPr>
                <w:rFonts w:hint="eastAsia" w:eastAsia="仿宋"/>
                <w:sz w:val="24"/>
              </w:rPr>
              <w:t>多媒体教室</w:t>
            </w:r>
          </w:p>
        </w:tc>
        <w:tc>
          <w:tcPr>
            <w:tcW w:w="4680" w:type="dxa"/>
          </w:tcPr>
          <w:p>
            <w:pPr>
              <w:rPr>
                <w:rFonts w:eastAsia="仿宋"/>
                <w:sz w:val="24"/>
              </w:rPr>
            </w:pPr>
            <w:r>
              <w:rPr>
                <w:rFonts w:hint="eastAsia" w:eastAsia="仿宋"/>
                <w:sz w:val="24"/>
              </w:rPr>
              <w:t>触摸式多媒体教学一体机</w:t>
            </w:r>
          </w:p>
        </w:tc>
        <w:tc>
          <w:tcPr>
            <w:tcW w:w="1926"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903" w:type="dxa"/>
            <w:vMerge w:val="continue"/>
            <w:vAlign w:val="center"/>
          </w:tcPr>
          <w:p>
            <w:pPr>
              <w:jc w:val="center"/>
              <w:rPr>
                <w:rFonts w:eastAsia="仿宋"/>
                <w:sz w:val="24"/>
              </w:rPr>
            </w:pPr>
          </w:p>
        </w:tc>
        <w:tc>
          <w:tcPr>
            <w:tcW w:w="4680" w:type="dxa"/>
          </w:tcPr>
          <w:p>
            <w:pPr>
              <w:rPr>
                <w:rFonts w:eastAsia="仿宋"/>
                <w:sz w:val="24"/>
              </w:rPr>
            </w:pPr>
            <w:r>
              <w:rPr>
                <w:rFonts w:hint="eastAsia" w:eastAsia="仿宋"/>
                <w:sz w:val="24"/>
              </w:rPr>
              <w:t>电子白板</w:t>
            </w:r>
          </w:p>
        </w:tc>
        <w:tc>
          <w:tcPr>
            <w:tcW w:w="1926"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1903" w:type="dxa"/>
            <w:vMerge w:val="continue"/>
            <w:vAlign w:val="center"/>
          </w:tcPr>
          <w:p>
            <w:pPr>
              <w:jc w:val="center"/>
              <w:rPr>
                <w:rFonts w:eastAsia="仿宋"/>
                <w:sz w:val="24"/>
              </w:rPr>
            </w:pPr>
          </w:p>
        </w:tc>
        <w:tc>
          <w:tcPr>
            <w:tcW w:w="4680" w:type="dxa"/>
          </w:tcPr>
          <w:p>
            <w:pPr>
              <w:rPr>
                <w:rFonts w:eastAsia="仿宋"/>
                <w:sz w:val="24"/>
              </w:rPr>
            </w:pPr>
            <w:r>
              <w:rPr>
                <w:rFonts w:hint="eastAsia" w:eastAsia="仿宋"/>
                <w:sz w:val="24"/>
              </w:rPr>
              <w:t>电子展示台</w:t>
            </w:r>
          </w:p>
        </w:tc>
        <w:tc>
          <w:tcPr>
            <w:tcW w:w="1926"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r>
      <w:bookmarkEnd w:id="21"/>
      <w:bookmarkEnd w:id="22"/>
      <w:bookmarkEnd w:id="24"/>
      <w:bookmarkEnd w:id="25"/>
      <w:bookmarkEnd w:id="26"/>
    </w:tbl>
    <w:p>
      <w:pPr>
        <w:pStyle w:val="4"/>
        <w:spacing w:before="100" w:after="80" w:line="480" w:lineRule="exact"/>
        <w:jc w:val="left"/>
        <w:rPr>
          <w:rFonts w:eastAsia="仿宋"/>
          <w:b w:val="0"/>
        </w:rPr>
      </w:pPr>
      <w:r>
        <w:rPr>
          <w:rFonts w:hint="eastAsia" w:eastAsia="仿宋"/>
          <w:b w:val="0"/>
        </w:rPr>
        <w:t>　</w:t>
      </w:r>
      <w:r>
        <w:rPr>
          <w:rFonts w:hint="eastAsia" w:ascii="仿宋" w:hAnsi="仿宋" w:eastAsia="仿宋" w:cs="宋体"/>
          <w:b w:val="0"/>
          <w:sz w:val="28"/>
          <w:szCs w:val="28"/>
        </w:rPr>
        <w:t xml:space="preserve">　2. 校内实训条件  </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（1）校内实训基地及实训室</w:t>
      </w:r>
    </w:p>
    <w:p>
      <w:pPr>
        <w:spacing w:line="480" w:lineRule="exact"/>
        <w:ind w:firstLine="840" w:firstLineChars="300"/>
        <w:rPr>
          <w:rFonts w:ascii="仿宋" w:hAnsi="仿宋" w:eastAsia="仿宋" w:cs="宋体"/>
          <w:sz w:val="28"/>
          <w:szCs w:val="28"/>
        </w:rPr>
      </w:pPr>
      <w:r>
        <w:rPr>
          <w:rFonts w:hint="eastAsia" w:ascii="仿宋" w:hAnsi="仿宋" w:eastAsia="仿宋" w:cs="宋体"/>
          <w:sz w:val="28"/>
          <w:szCs w:val="28"/>
        </w:rPr>
        <w:t>①实训基地</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    校内实训农场。 </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②实训室</w:t>
      </w:r>
    </w:p>
    <w:p>
      <w:pPr>
        <w:spacing w:line="480" w:lineRule="exact"/>
        <w:ind w:firstLine="1120" w:firstLineChars="400"/>
        <w:rPr>
          <w:rFonts w:ascii="仿宋" w:hAnsi="仿宋" w:eastAsia="仿宋" w:cs="宋体"/>
          <w:sz w:val="28"/>
          <w:szCs w:val="28"/>
        </w:rPr>
      </w:pPr>
      <w:r>
        <w:rPr>
          <w:rFonts w:hint="eastAsia" w:ascii="仿宋" w:hAnsi="仿宋" w:eastAsia="仿宋" w:cs="宋体"/>
          <w:sz w:val="28"/>
          <w:szCs w:val="28"/>
        </w:rPr>
        <w:t>植物生理实训室、微生物观察室、植物组织培养室。</w:t>
      </w:r>
    </w:p>
    <w:p>
      <w:pPr>
        <w:spacing w:line="440" w:lineRule="exact"/>
        <w:ind w:firstLine="560" w:firstLineChars="200"/>
        <w:rPr>
          <w:rFonts w:ascii="仿宋" w:hAnsi="仿宋" w:eastAsia="仿宋" w:cs="宋体"/>
          <w:sz w:val="28"/>
          <w:szCs w:val="28"/>
        </w:rPr>
      </w:pPr>
      <w:r>
        <w:rPr>
          <w:rFonts w:hint="eastAsia" w:ascii="仿宋" w:hAnsi="仿宋" w:eastAsia="仿宋" w:cs="宋体"/>
          <w:sz w:val="28"/>
          <w:szCs w:val="28"/>
        </w:rPr>
        <w:t>（2）学校已有设备及仪器</w:t>
      </w:r>
    </w:p>
    <w:p>
      <w:pPr>
        <w:spacing w:line="480" w:lineRule="exact"/>
        <w:ind w:firstLine="840" w:firstLineChars="300"/>
        <w:rPr>
          <w:rFonts w:ascii="仿宋" w:hAnsi="仿宋" w:eastAsia="仿宋" w:cs="宋体"/>
          <w:sz w:val="28"/>
          <w:szCs w:val="28"/>
        </w:rPr>
      </w:pPr>
      <w:r>
        <w:rPr>
          <w:rFonts w:hint="eastAsia" w:ascii="仿宋" w:hAnsi="仿宋" w:eastAsia="仿宋" w:cs="宋体"/>
          <w:sz w:val="28"/>
          <w:szCs w:val="28"/>
        </w:rPr>
        <w:t>①植物生理实训室</w:t>
      </w:r>
    </w:p>
    <w:p>
      <w:pPr>
        <w:spacing w:line="480" w:lineRule="exact"/>
        <w:jc w:val="center"/>
        <w:rPr>
          <w:rFonts w:ascii="宋体" w:hAnsi="宋体" w:cs="宋体"/>
          <w:sz w:val="24"/>
        </w:rPr>
      </w:pPr>
      <w:r>
        <w:rPr>
          <w:rFonts w:hint="eastAsia" w:ascii="仿宋" w:hAnsi="仿宋" w:eastAsia="仿宋" w:cs="仿宋"/>
          <w:color w:val="000000" w:themeColor="text1"/>
          <w:sz w:val="24"/>
        </w:rPr>
        <w:t>表16：植物生理实训室</w:t>
      </w:r>
    </w:p>
    <w:tbl>
      <w:tblPr>
        <w:tblStyle w:val="14"/>
        <w:tblW w:w="8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4542"/>
        <w:gridCol w:w="196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序号</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名称</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数量（生均台套）</w:t>
            </w:r>
          </w:p>
        </w:tc>
        <w:tc>
          <w:tcPr>
            <w:tcW w:w="1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普通培养箱</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C系列显微镜用测微尺</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精密式PH比色器</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搅拌机</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普通不锈钢电热蒸馏水器</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6</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高速均浆机</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7</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普通不锈钢电热蒸馏水器</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8</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自控型压力蒸汽灭菌器</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9</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凯氏定氮仪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植物切片</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500套</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11</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旋转蒸发仪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12</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高速离心机</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13</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旋转蒸发仪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14</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自控型压力蒸汽灭菌器</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15</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凯氏定氮仪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16</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植物切片</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500套</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17</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精密电导率仪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18</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层析柱</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19</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超声波增湿计</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三用紫外分析仪</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21</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数字式精密酸度计</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22</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生理实验箱</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23</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可调封闭式电炉（电炉）</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1560"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9"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24</w:t>
            </w:r>
          </w:p>
        </w:tc>
        <w:tc>
          <w:tcPr>
            <w:tcW w:w="454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四联调温电炉</w:t>
            </w:r>
          </w:p>
        </w:tc>
        <w:tc>
          <w:tcPr>
            <w:tcW w:w="1961"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1560" w:type="dxa"/>
            <w:vAlign w:val="center"/>
          </w:tcPr>
          <w:p>
            <w:pPr>
              <w:spacing w:line="400" w:lineRule="exact"/>
              <w:jc w:val="center"/>
              <w:rPr>
                <w:rFonts w:ascii="仿宋" w:hAnsi="仿宋" w:eastAsia="仿宋" w:cs="宋体"/>
                <w:bCs/>
                <w:kern w:val="1"/>
                <w:szCs w:val="21"/>
              </w:rPr>
            </w:pPr>
          </w:p>
        </w:tc>
      </w:tr>
    </w:tbl>
    <w:p>
      <w:pPr>
        <w:spacing w:line="480" w:lineRule="exact"/>
        <w:rPr>
          <w:rFonts w:ascii="宋体" w:hAnsi="宋体" w:cs="宋体"/>
          <w:sz w:val="28"/>
          <w:szCs w:val="28"/>
        </w:rPr>
      </w:pPr>
      <w:r>
        <w:rPr>
          <w:rFonts w:hint="eastAsia" w:ascii="宋体" w:hAnsi="宋体" w:cs="宋体"/>
          <w:sz w:val="28"/>
          <w:szCs w:val="28"/>
        </w:rPr>
        <w:t>　</w:t>
      </w:r>
      <w:r>
        <w:rPr>
          <w:rFonts w:hint="eastAsia" w:ascii="仿宋" w:hAnsi="仿宋" w:eastAsia="仿宋" w:cs="宋体"/>
          <w:sz w:val="28"/>
          <w:szCs w:val="28"/>
        </w:rPr>
        <w:t>　②微生物观察室</w:t>
      </w:r>
    </w:p>
    <w:p>
      <w:pPr>
        <w:spacing w:line="480" w:lineRule="exact"/>
        <w:jc w:val="center"/>
        <w:rPr>
          <w:rFonts w:ascii="仿宋" w:hAnsi="仿宋" w:eastAsia="仿宋" w:cs="仿宋"/>
          <w:color w:val="000000" w:themeColor="text1"/>
          <w:sz w:val="24"/>
        </w:rPr>
      </w:pPr>
      <w:r>
        <w:rPr>
          <w:rFonts w:hint="eastAsia" w:ascii="仿宋" w:hAnsi="仿宋" w:eastAsia="仿宋" w:cs="仿宋"/>
          <w:color w:val="000000" w:themeColor="text1"/>
          <w:sz w:val="24"/>
        </w:rPr>
        <w:t>表17：微生物观察室</w:t>
      </w:r>
    </w:p>
    <w:tbl>
      <w:tblPr>
        <w:tblStyle w:val="14"/>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4560"/>
        <w:gridCol w:w="2252"/>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序号</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名称</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数量（生均台套）</w:t>
            </w:r>
          </w:p>
        </w:tc>
        <w:tc>
          <w:tcPr>
            <w:tcW w:w="142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双面超净工作台</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单面超净工作台</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手提灭菌锅</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微生物培养料压盖机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植物粉碎机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6</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聚丙稀周转筐</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1000</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7</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聚丙稀塑料瓶</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40000</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8</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无棉塑料套环盖</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40000</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9</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电子天平</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百级净化手动接种机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11</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数控装袋机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12</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微生物培养料挖瓶机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13</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接种工具</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50</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14</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微生物培养料装瓶机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15</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微生物掻菌联合机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16</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超低温冰箱</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17</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植物粉碎机</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18</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圆形微生物灭菌器</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1424" w:type="dxa"/>
            <w:vAlign w:val="center"/>
          </w:tcPr>
          <w:p>
            <w:pPr>
              <w:spacing w:line="400" w:lineRule="exact"/>
              <w:jc w:val="center"/>
              <w:rPr>
                <w:rFonts w:ascii="仿宋" w:hAnsi="仿宋" w:eastAsia="仿宋"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94"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19</w:t>
            </w:r>
          </w:p>
        </w:tc>
        <w:tc>
          <w:tcPr>
            <w:tcW w:w="4560"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孢子捕捉器</w:t>
            </w:r>
          </w:p>
        </w:tc>
        <w:tc>
          <w:tcPr>
            <w:tcW w:w="2252" w:type="dxa"/>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w:t>
            </w:r>
          </w:p>
        </w:tc>
        <w:tc>
          <w:tcPr>
            <w:tcW w:w="1424" w:type="dxa"/>
            <w:vAlign w:val="center"/>
          </w:tcPr>
          <w:p>
            <w:pPr>
              <w:spacing w:line="400" w:lineRule="exact"/>
              <w:jc w:val="center"/>
              <w:rPr>
                <w:rFonts w:ascii="仿宋" w:hAnsi="仿宋" w:eastAsia="仿宋" w:cs="宋体"/>
                <w:bCs/>
                <w:kern w:val="1"/>
                <w:szCs w:val="21"/>
              </w:rPr>
            </w:pPr>
          </w:p>
        </w:tc>
      </w:tr>
    </w:tbl>
    <w:p>
      <w:pPr>
        <w:spacing w:line="480" w:lineRule="exact"/>
        <w:rPr>
          <w:rFonts w:ascii="宋体" w:hAnsi="宋体" w:cs="宋体"/>
          <w:sz w:val="28"/>
          <w:szCs w:val="28"/>
        </w:rPr>
      </w:pPr>
      <w:r>
        <w:rPr>
          <w:rFonts w:hint="eastAsia" w:ascii="仿宋" w:hAnsi="仿宋" w:eastAsia="仿宋" w:cs="宋体"/>
          <w:sz w:val="28"/>
          <w:szCs w:val="28"/>
        </w:rPr>
        <w:t>　　</w:t>
      </w:r>
      <w:r>
        <w:rPr>
          <w:rFonts w:ascii="仿宋" w:hAnsi="仿宋" w:eastAsia="仿宋" w:cs="宋体"/>
          <w:sz w:val="28"/>
          <w:szCs w:val="28"/>
        </w:rPr>
        <w:t>③</w:t>
      </w:r>
      <w:r>
        <w:rPr>
          <w:rFonts w:hint="eastAsia" w:ascii="仿宋" w:hAnsi="仿宋" w:eastAsia="仿宋" w:cs="宋体"/>
          <w:sz w:val="28"/>
          <w:szCs w:val="28"/>
        </w:rPr>
        <w:t>植物组织培养室</w:t>
      </w:r>
    </w:p>
    <w:p>
      <w:pPr>
        <w:spacing w:line="480" w:lineRule="exact"/>
        <w:jc w:val="center"/>
        <w:rPr>
          <w:rFonts w:ascii="仿宋" w:hAnsi="仿宋" w:eastAsia="仿宋" w:cs="仿宋"/>
          <w:color w:val="000000" w:themeColor="text1"/>
          <w:sz w:val="24"/>
        </w:rPr>
      </w:pPr>
      <w:r>
        <w:rPr>
          <w:rFonts w:hint="eastAsia" w:ascii="仿宋" w:hAnsi="仿宋" w:eastAsia="仿宋" w:cs="仿宋"/>
          <w:color w:val="000000" w:themeColor="text1"/>
          <w:sz w:val="24"/>
        </w:rPr>
        <w:t>表18：植物组织培养室</w:t>
      </w:r>
    </w:p>
    <w:tbl>
      <w:tblPr>
        <w:tblStyle w:val="1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650"/>
        <w:gridCol w:w="4272"/>
        <w:gridCol w:w="2124"/>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restart"/>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实训室</w:t>
            </w:r>
          </w:p>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名称</w:t>
            </w:r>
          </w:p>
        </w:tc>
        <w:tc>
          <w:tcPr>
            <w:tcW w:w="650" w:type="dxa"/>
            <w:vMerge w:val="restart"/>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序号</w:t>
            </w:r>
          </w:p>
        </w:tc>
        <w:tc>
          <w:tcPr>
            <w:tcW w:w="6396" w:type="dxa"/>
            <w:gridSpan w:val="2"/>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主要工具和设施设备</w:t>
            </w:r>
          </w:p>
        </w:tc>
        <w:tc>
          <w:tcPr>
            <w:tcW w:w="980" w:type="dxa"/>
          </w:tcPr>
          <w:p>
            <w:pPr>
              <w:spacing w:line="400" w:lineRule="exact"/>
              <w:jc w:val="center"/>
              <w:rPr>
                <w:rFonts w:ascii="宋体" w:hAnsi="宋体" w:cs="宋体"/>
                <w:bCs/>
                <w:kern w:val="1"/>
                <w:szCs w:val="21"/>
              </w:rPr>
            </w:pPr>
            <w:r>
              <w:rPr>
                <w:rFonts w:hint="eastAsia" w:ascii="宋体" w:hAnsi="宋体" w:cs="宋体"/>
                <w:bCs/>
                <w:kern w:val="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vMerge w:val="continue"/>
          </w:tcPr>
          <w:p>
            <w:pPr>
              <w:spacing w:line="400" w:lineRule="exact"/>
              <w:jc w:val="center"/>
              <w:rPr>
                <w:rFonts w:ascii="仿宋" w:hAnsi="仿宋" w:eastAsia="仿宋" w:cs="宋体"/>
                <w:bCs/>
                <w:kern w:val="1"/>
                <w:szCs w:val="21"/>
              </w:rPr>
            </w:pP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名称</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数量（生均台套）</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restart"/>
            <w:vAlign w:val="center"/>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植物组织培养</w:t>
            </w: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空调</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风淋室</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全自动干手器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高雾化手消毒器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陶瓷台盆柜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超净工作台</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酒精灯</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组培架</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组培瓶</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10000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温湿度计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照度计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除湿机</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13</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光照培养箱</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人工气候箱</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草炭土</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1000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烧杯</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搪瓷缸</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药匙</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磁力搅拌器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玻璃棒</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量筒</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广口瓶</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23</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酸度计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剪刀</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解剖刀</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接种针</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接种镊子（大）</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接种镊子（小、尖）</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接种刀片</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高压灭菌锅</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单道微量可调移液器（100—1000ul）</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单道微量可调移液器(20-200ul)</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33</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双目生物显微镜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15</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根系分析仪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植物水势仪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移动式空气消毒臭氧发生器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双筒实体显微镜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20</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衣柜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手提式高压灭菌锅</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3</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自动气象站</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土壤成分测试仪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便携式光合蒸腾仪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43</w:t>
            </w:r>
          </w:p>
        </w:tc>
        <w:tc>
          <w:tcPr>
            <w:tcW w:w="4272" w:type="dxa"/>
          </w:tcPr>
          <w:p>
            <w:pPr>
              <w:tabs>
                <w:tab w:val="left" w:pos="1492"/>
              </w:tabs>
              <w:spacing w:line="400" w:lineRule="exact"/>
              <w:jc w:val="left"/>
              <w:rPr>
                <w:rFonts w:ascii="仿宋" w:hAnsi="仿宋" w:eastAsia="仿宋" w:cs="宋体"/>
                <w:bCs/>
                <w:kern w:val="1"/>
                <w:szCs w:val="21"/>
              </w:rPr>
            </w:pPr>
            <w:r>
              <w:rPr>
                <w:rFonts w:hint="eastAsia" w:ascii="仿宋" w:hAnsi="仿宋" w:eastAsia="仿宋" w:cs="宋体"/>
                <w:bCs/>
                <w:kern w:val="1"/>
                <w:szCs w:val="21"/>
              </w:rPr>
              <w:tab/>
            </w:r>
            <w:r>
              <w:rPr>
                <w:rFonts w:hint="eastAsia" w:ascii="仿宋" w:hAnsi="仿宋" w:eastAsia="仿宋" w:cs="宋体"/>
                <w:bCs/>
                <w:kern w:val="1"/>
                <w:szCs w:val="21"/>
              </w:rPr>
              <w:t>普通冰箱</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恒温培养箱</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分光光度计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紫外可见分光光度计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原子吸收光谱仪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超纯水器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电子天平</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高速离心机</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51</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显微镜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52</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二氧化碳测定仪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53</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电脑石腊切片机</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54</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电热鼓风干燥器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55</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固体样品粉碎机</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56</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电导仪</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4</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57</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离子计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58</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恒温振荡器</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2</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59</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摄影显微镜</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50" w:type="dxa"/>
            <w:vMerge w:val="continue"/>
          </w:tcPr>
          <w:p>
            <w:pPr>
              <w:spacing w:line="400" w:lineRule="exact"/>
              <w:jc w:val="center"/>
              <w:rPr>
                <w:rFonts w:ascii="仿宋" w:hAnsi="仿宋" w:eastAsia="仿宋" w:cs="宋体"/>
                <w:bCs/>
                <w:kern w:val="1"/>
                <w:szCs w:val="21"/>
              </w:rPr>
            </w:pPr>
          </w:p>
        </w:tc>
        <w:tc>
          <w:tcPr>
            <w:tcW w:w="650"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60</w:t>
            </w:r>
          </w:p>
        </w:tc>
        <w:tc>
          <w:tcPr>
            <w:tcW w:w="4272"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荧光分光光度计</w:t>
            </w:r>
          </w:p>
        </w:tc>
        <w:tc>
          <w:tcPr>
            <w:tcW w:w="2124" w:type="dxa"/>
          </w:tcPr>
          <w:p>
            <w:pPr>
              <w:spacing w:line="400" w:lineRule="exact"/>
              <w:jc w:val="center"/>
              <w:rPr>
                <w:rFonts w:ascii="仿宋" w:hAnsi="仿宋" w:eastAsia="仿宋" w:cs="宋体"/>
                <w:bCs/>
                <w:kern w:val="1"/>
                <w:szCs w:val="21"/>
              </w:rPr>
            </w:pPr>
            <w:r>
              <w:rPr>
                <w:rFonts w:hint="eastAsia" w:ascii="仿宋" w:hAnsi="仿宋" w:eastAsia="仿宋" w:cs="宋体"/>
                <w:bCs/>
                <w:kern w:val="1"/>
                <w:szCs w:val="21"/>
              </w:rPr>
              <w:t>1</w:t>
            </w:r>
          </w:p>
        </w:tc>
        <w:tc>
          <w:tcPr>
            <w:tcW w:w="980" w:type="dxa"/>
          </w:tcPr>
          <w:p>
            <w:pPr>
              <w:spacing w:line="400" w:lineRule="exact"/>
              <w:jc w:val="center"/>
              <w:rPr>
                <w:rFonts w:ascii="宋体" w:hAnsi="宋体" w:cs="宋体"/>
                <w:bCs/>
                <w:kern w:val="1"/>
                <w:szCs w:val="21"/>
              </w:rPr>
            </w:pPr>
          </w:p>
        </w:tc>
      </w:tr>
    </w:tbl>
    <w:p>
      <w:pPr>
        <w:spacing w:line="480" w:lineRule="exact"/>
        <w:rPr>
          <w:rFonts w:ascii="仿宋" w:hAnsi="仿宋" w:eastAsia="仿宋" w:cs="宋体"/>
          <w:sz w:val="28"/>
          <w:szCs w:val="28"/>
        </w:rPr>
      </w:pPr>
      <w:r>
        <w:rPr>
          <w:rFonts w:hint="eastAsia" w:ascii="仿宋" w:hAnsi="仿宋" w:eastAsia="仿宋" w:cs="宋体"/>
          <w:sz w:val="28"/>
          <w:szCs w:val="28"/>
        </w:rPr>
        <w:t>　　④大棚</w:t>
      </w:r>
    </w:p>
    <w:p>
      <w:pPr>
        <w:spacing w:line="480" w:lineRule="exact"/>
        <w:jc w:val="center"/>
        <w:rPr>
          <w:rFonts w:ascii="宋体" w:hAnsi="宋体" w:cs="宋体"/>
          <w:sz w:val="28"/>
          <w:szCs w:val="28"/>
        </w:rPr>
      </w:pPr>
      <w:r>
        <w:rPr>
          <w:rFonts w:hint="eastAsia" w:ascii="仿宋" w:hAnsi="仿宋" w:eastAsia="仿宋" w:cs="仿宋"/>
          <w:color w:val="000000" w:themeColor="text1"/>
          <w:sz w:val="24"/>
        </w:rPr>
        <w:t>表19：大棚</w:t>
      </w:r>
    </w:p>
    <w:tbl>
      <w:tblPr>
        <w:tblStyle w:val="1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650"/>
        <w:gridCol w:w="4272"/>
        <w:gridCol w:w="2124"/>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restart"/>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校内实训基地</w:t>
            </w:r>
          </w:p>
        </w:tc>
        <w:tc>
          <w:tcPr>
            <w:tcW w:w="650" w:type="dxa"/>
            <w:vMerge w:val="restart"/>
            <w:vAlign w:val="center"/>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序号</w:t>
            </w:r>
          </w:p>
        </w:tc>
        <w:tc>
          <w:tcPr>
            <w:tcW w:w="6396" w:type="dxa"/>
            <w:gridSpan w:val="2"/>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主要工具和设施设备</w:t>
            </w:r>
          </w:p>
        </w:tc>
        <w:tc>
          <w:tcPr>
            <w:tcW w:w="980" w:type="dxa"/>
            <w:vMerge w:val="restart"/>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vMerge w:val="continue"/>
          </w:tcPr>
          <w:p>
            <w:pPr>
              <w:spacing w:line="400" w:lineRule="exact"/>
              <w:jc w:val="center"/>
              <w:rPr>
                <w:rFonts w:ascii="仿宋" w:hAnsi="仿宋" w:eastAsia="仿宋" w:cs="仿宋"/>
                <w:color w:val="000000" w:themeColor="text1"/>
                <w:szCs w:val="21"/>
              </w:rPr>
            </w:pP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名称</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数量（生均台套）</w:t>
            </w:r>
          </w:p>
        </w:tc>
        <w:tc>
          <w:tcPr>
            <w:tcW w:w="980" w:type="dxa"/>
            <w:vMerge w:val="continue"/>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restart"/>
            <w:vAlign w:val="center"/>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大棚</w:t>
            </w: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中脊杆</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250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供杆</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斜拉撑</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门头立柱</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卡槽</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83</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6</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卡簧</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120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7</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固定器</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210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连接片</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9</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压顶簧</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151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10</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套管</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55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11</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夹箍</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12</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夹箍</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89</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14</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C型丝</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41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15</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压模卡</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120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16</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压模卡</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75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17</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护套</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18</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门</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19</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门轴</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9</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20</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压模线</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21</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卷膜器</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4</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22</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模</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850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23</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站桩</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15</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24</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遮阳网</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550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25</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防虫网</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400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26</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移动式育苗床</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27</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催苗机</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28</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精量直播机</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29</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电热恒温箱</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30</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通风橱</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31</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穴盘转移车</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32</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成苗移动车</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33</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燃油热风炉</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34</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燃煤热风炉</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2</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35</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温室稀土补光灯</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90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36</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降温风机</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10</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37</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全光照迷雾装置</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38</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自走式喷罐车</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39</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基础预埋</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tcPr>
          <w:p>
            <w:pPr>
              <w:spacing w:line="400" w:lineRule="exact"/>
              <w:jc w:val="center"/>
              <w:rPr>
                <w:rFonts w:ascii="仿宋" w:hAnsi="仿宋" w:eastAsia="仿宋" w:cs="仿宋"/>
                <w:color w:val="000000" w:themeColor="text1"/>
                <w:szCs w:val="21"/>
              </w:rPr>
            </w:pPr>
          </w:p>
        </w:tc>
        <w:tc>
          <w:tcPr>
            <w:tcW w:w="650"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40</w:t>
            </w:r>
          </w:p>
        </w:tc>
        <w:tc>
          <w:tcPr>
            <w:tcW w:w="4272"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温室大棚灌溉管道</w:t>
            </w:r>
          </w:p>
        </w:tc>
        <w:tc>
          <w:tcPr>
            <w:tcW w:w="2124" w:type="dxa"/>
          </w:tcPr>
          <w:p>
            <w:pPr>
              <w:spacing w:line="400" w:lineRule="exact"/>
              <w:jc w:val="center"/>
              <w:rPr>
                <w:rFonts w:ascii="仿宋" w:hAnsi="仿宋" w:eastAsia="仿宋" w:cs="仿宋"/>
                <w:color w:val="000000" w:themeColor="text1"/>
                <w:szCs w:val="21"/>
              </w:rPr>
            </w:pPr>
            <w:r>
              <w:rPr>
                <w:rFonts w:hint="eastAsia" w:ascii="仿宋" w:hAnsi="仿宋" w:eastAsia="仿宋" w:cs="仿宋"/>
                <w:color w:val="000000" w:themeColor="text1"/>
                <w:szCs w:val="21"/>
              </w:rPr>
              <w:t>1</w:t>
            </w:r>
          </w:p>
        </w:tc>
        <w:tc>
          <w:tcPr>
            <w:tcW w:w="980" w:type="dxa"/>
          </w:tcPr>
          <w:p>
            <w:pPr>
              <w:spacing w:line="400" w:lineRule="exact"/>
              <w:jc w:val="center"/>
              <w:rPr>
                <w:rFonts w:ascii="仿宋" w:hAnsi="仿宋" w:eastAsia="仿宋" w:cs="仿宋"/>
                <w:color w:val="000000" w:themeColor="text1"/>
                <w:szCs w:val="21"/>
              </w:rPr>
            </w:pPr>
          </w:p>
        </w:tc>
      </w:tr>
    </w:tbl>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2.《休闲农业生产与经营专业》校外实训基地      </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（1）校外实训基地：</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 ①松桃县镇江茶场：可接纳实训工位数：30人。</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 ②松桃县大坪蔬菜基地：可接纳实训工位数：20人。</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（2）校外实训要求：</w:t>
      </w:r>
    </w:p>
    <w:p>
      <w:pPr>
        <w:spacing w:line="480" w:lineRule="exact"/>
        <w:ind w:firstLine="560" w:firstLineChars="200"/>
        <w:rPr>
          <w:rFonts w:ascii="仿宋" w:hAnsi="仿宋" w:eastAsia="仿宋" w:cs="宋体"/>
          <w:sz w:val="28"/>
          <w:szCs w:val="28"/>
        </w:rPr>
      </w:pPr>
      <w:r>
        <w:rPr>
          <w:rFonts w:hint="eastAsia" w:ascii="仿宋" w:hAnsi="仿宋" w:eastAsia="仿宋" w:cs="宋体"/>
          <w:sz w:val="28"/>
          <w:szCs w:val="28"/>
        </w:rPr>
        <w:t xml:space="preserve">学生必须听从带队教师的统一安排，遵守学校制订的实训纪律和实训企业的规章制度，遵守国家法律法规、不能做出损害学校和个人形象的事。   </w:t>
      </w:r>
    </w:p>
    <w:p>
      <w:pPr>
        <w:keepNext/>
        <w:keepLines/>
        <w:spacing w:before="100" w:after="80" w:line="480" w:lineRule="exact"/>
        <w:jc w:val="left"/>
        <w:outlineLvl w:val="1"/>
        <w:rPr>
          <w:rFonts w:eastAsia="仿宋"/>
          <w:b/>
          <w:bCs/>
          <w:sz w:val="28"/>
        </w:rPr>
      </w:pPr>
      <w:bookmarkStart w:id="38" w:name="_Toc355954832"/>
      <w:bookmarkStart w:id="39" w:name="_Toc4149_WPSOffice_Level1"/>
      <w:bookmarkStart w:id="40" w:name="_Toc8471"/>
      <w:r>
        <w:rPr>
          <w:rFonts w:hint="eastAsia" w:eastAsia="仿宋"/>
          <w:b/>
          <w:bCs/>
          <w:sz w:val="28"/>
        </w:rPr>
        <w:t>（三）教学资源</w:t>
      </w:r>
      <w:bookmarkEnd w:id="38"/>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3.在教材选用方面严格选取国家规划教材或按照学习领域教学需要编写特色教材。鼓励教师针对学生学情编选适合教材,倡导专业教师开发符合本区域农业经济特色发展需要 ，突出实用于理论与实践教学一体化的校本教材。教材内容要结合当前当地的农业经济发展的需要，符合本专业培养目标，突出科学性、先进性和实用性。</w:t>
      </w:r>
    </w:p>
    <w:p>
      <w:pPr>
        <w:rPr>
          <w:rFonts w:ascii="仿宋_GB2312" w:eastAsia="仿宋_GB2312"/>
          <w:color w:val="000000" w:themeColor="text1"/>
          <w:sz w:val="28"/>
          <w:szCs w:val="28"/>
        </w:rPr>
      </w:pPr>
      <w:r>
        <w:rPr>
          <w:rFonts w:hint="eastAsia" w:ascii="仿宋" w:hAnsi="仿宋" w:eastAsia="仿宋" w:cs="仿宋"/>
          <w:sz w:val="28"/>
          <w:szCs w:val="28"/>
        </w:rPr>
        <w:t>　</w:t>
      </w:r>
      <w:r>
        <w:rPr>
          <w:rFonts w:ascii="仿宋" w:hAnsi="仿宋" w:eastAsia="仿宋" w:cs="仿宋"/>
          <w:sz w:val="28"/>
          <w:szCs w:val="28"/>
        </w:rPr>
        <w:t>①</w:t>
      </w:r>
      <w:r>
        <w:rPr>
          <w:rFonts w:hint="eastAsia" w:eastAsia="仿宋" w:cs="Calibri"/>
          <w:sz w:val="28"/>
          <w:szCs w:val="28"/>
        </w:rPr>
        <w:t>休闲农业生产与经营</w:t>
      </w:r>
      <w:r>
        <w:rPr>
          <w:rFonts w:hint="eastAsia" w:ascii="仿宋_GB2312" w:eastAsia="仿宋_GB2312"/>
          <w:color w:val="000000" w:themeColor="text1"/>
          <w:sz w:val="28"/>
          <w:szCs w:val="28"/>
        </w:rPr>
        <w:t>专业教材选用一览表</w:t>
      </w:r>
    </w:p>
    <w:p>
      <w:pPr>
        <w:jc w:val="center"/>
        <w:rPr>
          <w:rFonts w:ascii="仿宋" w:hAnsi="仿宋" w:eastAsia="仿宋" w:cs="仿宋"/>
          <w:sz w:val="24"/>
        </w:rPr>
      </w:pPr>
      <w:r>
        <w:rPr>
          <w:rFonts w:hint="eastAsia" w:ascii="仿宋" w:hAnsi="仿宋" w:eastAsia="仿宋" w:cs="仿宋"/>
          <w:sz w:val="24"/>
        </w:rPr>
        <w:t>表：20休闲农业生产与经营专业教材选用一览表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590"/>
        <w:gridCol w:w="3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序号</w:t>
            </w:r>
          </w:p>
        </w:tc>
        <w:tc>
          <w:tcPr>
            <w:tcW w:w="5590" w:type="dxa"/>
            <w:vAlign w:val="center"/>
          </w:tcPr>
          <w:p>
            <w:pPr>
              <w:jc w:val="center"/>
              <w:rPr>
                <w:rFonts w:ascii="仿宋" w:hAnsi="仿宋" w:eastAsia="仿宋" w:cs="仿宋"/>
                <w:sz w:val="24"/>
              </w:rPr>
            </w:pPr>
            <w:r>
              <w:rPr>
                <w:rFonts w:hint="eastAsia" w:ascii="仿宋" w:hAnsi="仿宋" w:eastAsia="仿宋" w:cs="仿宋"/>
                <w:sz w:val="24"/>
              </w:rPr>
              <w:t>教材名称</w:t>
            </w:r>
          </w:p>
        </w:tc>
        <w:tc>
          <w:tcPr>
            <w:tcW w:w="3214" w:type="dxa"/>
            <w:vAlign w:val="center"/>
          </w:tcPr>
          <w:p>
            <w:pPr>
              <w:jc w:val="center"/>
              <w:rPr>
                <w:rFonts w:ascii="仿宋" w:hAnsi="仿宋" w:eastAsia="仿宋" w:cs="仿宋"/>
                <w:sz w:val="24"/>
              </w:rPr>
            </w:pPr>
            <w:r>
              <w:rPr>
                <w:rFonts w:hint="eastAsia" w:ascii="仿宋" w:hAnsi="仿宋" w:eastAsia="仿宋" w:cs="仿宋"/>
                <w:sz w:val="24"/>
              </w:rPr>
              <w:t>网址或出版社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w:t>
            </w:r>
          </w:p>
        </w:tc>
        <w:tc>
          <w:tcPr>
            <w:tcW w:w="5590" w:type="dxa"/>
            <w:vAlign w:val="center"/>
          </w:tcPr>
          <w:p>
            <w:pPr>
              <w:jc w:val="center"/>
              <w:rPr>
                <w:rFonts w:ascii="仿宋" w:hAnsi="仿宋" w:eastAsia="仿宋" w:cs="仿宋"/>
                <w:sz w:val="24"/>
              </w:rPr>
            </w:pPr>
            <w:r>
              <w:rPr>
                <w:rFonts w:hint="eastAsia" w:ascii="仿宋" w:hAnsi="仿宋" w:eastAsia="仿宋" w:cs="仿宋"/>
                <w:sz w:val="24"/>
              </w:rPr>
              <w:t>美术基础</w:t>
            </w:r>
          </w:p>
        </w:tc>
        <w:tc>
          <w:tcPr>
            <w:tcW w:w="3214" w:type="dxa"/>
            <w:vAlign w:val="center"/>
          </w:tcPr>
          <w:p>
            <w:pPr>
              <w:jc w:val="center"/>
              <w:rPr>
                <w:rFonts w:ascii="仿宋" w:hAnsi="仿宋" w:eastAsia="仿宋" w:cs="仿宋"/>
                <w:sz w:val="24"/>
              </w:rPr>
            </w:pPr>
            <w:r>
              <w:rPr>
                <w:rFonts w:hint="eastAsia" w:ascii="仿宋" w:hAnsi="仿宋" w:eastAsia="仿宋" w:cs="仿宋"/>
                <w:sz w:val="24"/>
              </w:rPr>
              <w:t>北师大出版社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w:t>
            </w:r>
          </w:p>
        </w:tc>
        <w:tc>
          <w:tcPr>
            <w:tcW w:w="5590" w:type="dxa"/>
            <w:vAlign w:val="center"/>
          </w:tcPr>
          <w:p>
            <w:pPr>
              <w:jc w:val="center"/>
              <w:rPr>
                <w:rFonts w:ascii="仿宋" w:hAnsi="仿宋" w:eastAsia="仿宋" w:cs="仿宋"/>
                <w:sz w:val="24"/>
              </w:rPr>
            </w:pPr>
            <w:r>
              <w:rPr>
                <w:rFonts w:hint="eastAsia"/>
              </w:rPr>
              <w:t>园林植物基础</w:t>
            </w:r>
          </w:p>
        </w:tc>
        <w:tc>
          <w:tcPr>
            <w:tcW w:w="3214" w:type="dxa"/>
            <w:vAlign w:val="center"/>
          </w:tcPr>
          <w:p>
            <w:pPr>
              <w:jc w:val="center"/>
              <w:rPr>
                <w:rFonts w:ascii="仿宋" w:hAnsi="仿宋" w:eastAsia="仿宋" w:cs="仿宋"/>
                <w:sz w:val="24"/>
              </w:rPr>
            </w:pPr>
            <w:r>
              <w:rPr>
                <w:rFonts w:hint="eastAsia" w:ascii="仿宋" w:hAnsi="仿宋" w:eastAsia="仿宋" w:cs="仿宋"/>
                <w:sz w:val="24"/>
              </w:rPr>
              <w:t>机械工业出版社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3</w:t>
            </w:r>
          </w:p>
        </w:tc>
        <w:tc>
          <w:tcPr>
            <w:tcW w:w="5590" w:type="dxa"/>
            <w:vAlign w:val="center"/>
          </w:tcPr>
          <w:p>
            <w:pPr>
              <w:jc w:val="center"/>
              <w:rPr>
                <w:rFonts w:ascii="仿宋" w:hAnsi="仿宋" w:eastAsia="仿宋" w:cs="仿宋"/>
                <w:sz w:val="24"/>
              </w:rPr>
            </w:pPr>
            <w:r>
              <w:rPr>
                <w:rFonts w:hint="eastAsia" w:ascii="仿宋" w:hAnsi="仿宋" w:eastAsia="仿宋" w:cs="仿宋"/>
                <w:sz w:val="24"/>
              </w:rPr>
              <w:t>植物生产与环境</w:t>
            </w:r>
          </w:p>
        </w:tc>
        <w:tc>
          <w:tcPr>
            <w:tcW w:w="3214" w:type="dxa"/>
            <w:vAlign w:val="center"/>
          </w:tcPr>
          <w:p>
            <w:pPr>
              <w:jc w:val="center"/>
              <w:rPr>
                <w:rFonts w:ascii="仿宋" w:hAnsi="仿宋" w:eastAsia="仿宋" w:cs="仿宋"/>
                <w:sz w:val="24"/>
              </w:rPr>
            </w:pPr>
            <w:r>
              <w:rPr>
                <w:rFonts w:hint="eastAsia" w:ascii="仿宋" w:hAnsi="仿宋" w:eastAsia="仿宋" w:cs="仿宋"/>
                <w:sz w:val="24"/>
              </w:rPr>
              <w:t>机械工业出版社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4</w:t>
            </w:r>
          </w:p>
        </w:tc>
        <w:tc>
          <w:tcPr>
            <w:tcW w:w="5590" w:type="dxa"/>
            <w:vAlign w:val="center"/>
          </w:tcPr>
          <w:p>
            <w:pPr>
              <w:jc w:val="center"/>
              <w:rPr>
                <w:rFonts w:ascii="仿宋" w:hAnsi="仿宋" w:eastAsia="仿宋" w:cs="仿宋"/>
                <w:sz w:val="24"/>
              </w:rPr>
            </w:pPr>
            <w:r>
              <w:rPr>
                <w:rFonts w:hint="eastAsia" w:ascii="仿宋" w:hAnsi="仿宋" w:eastAsia="仿宋" w:cs="仿宋"/>
                <w:sz w:val="24"/>
              </w:rPr>
              <w:t>植物及植物生理学</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中国建筑工业出版社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5</w:t>
            </w:r>
          </w:p>
        </w:tc>
        <w:tc>
          <w:tcPr>
            <w:tcW w:w="5590" w:type="dxa"/>
            <w:vAlign w:val="center"/>
          </w:tcPr>
          <w:p>
            <w:pPr>
              <w:jc w:val="center"/>
              <w:rPr>
                <w:rFonts w:ascii="仿宋" w:hAnsi="仿宋" w:eastAsia="仿宋" w:cs="仿宋"/>
                <w:sz w:val="24"/>
              </w:rPr>
            </w:pPr>
            <w:r>
              <w:rPr>
                <w:rFonts w:hint="eastAsia" w:ascii="仿宋" w:hAnsi="仿宋" w:eastAsia="仿宋" w:cs="仿宋"/>
                <w:sz w:val="24"/>
              </w:rPr>
              <w:t>土壤与肥料</w:t>
            </w:r>
          </w:p>
        </w:tc>
        <w:tc>
          <w:tcPr>
            <w:tcW w:w="3214" w:type="dxa"/>
            <w:vAlign w:val="center"/>
          </w:tcPr>
          <w:p>
            <w:pPr>
              <w:jc w:val="center"/>
              <w:rPr>
                <w:rFonts w:ascii="仿宋" w:hAnsi="仿宋" w:eastAsia="仿宋" w:cs="仿宋"/>
                <w:sz w:val="24"/>
              </w:rPr>
            </w:pPr>
            <w:r>
              <w:rPr>
                <w:rFonts w:hint="eastAsia" w:ascii="仿宋" w:hAnsi="仿宋" w:eastAsia="仿宋" w:cs="仿宋"/>
                <w:sz w:val="24"/>
              </w:rPr>
              <w:t>劳动版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6</w:t>
            </w:r>
          </w:p>
        </w:tc>
        <w:tc>
          <w:tcPr>
            <w:tcW w:w="5590" w:type="dxa"/>
            <w:vAlign w:val="center"/>
          </w:tcPr>
          <w:p>
            <w:pPr>
              <w:jc w:val="center"/>
              <w:rPr>
                <w:rFonts w:ascii="仿宋" w:hAnsi="仿宋" w:eastAsia="仿宋" w:cs="仿宋"/>
                <w:sz w:val="24"/>
              </w:rPr>
            </w:pPr>
            <w:r>
              <w:rPr>
                <w:rFonts w:hint="eastAsia" w:ascii="仿宋" w:hAnsi="仿宋" w:eastAsia="仿宋" w:cs="仿宋"/>
                <w:sz w:val="24"/>
              </w:rPr>
              <w:t>旅游概论</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7</w:t>
            </w:r>
          </w:p>
        </w:tc>
        <w:tc>
          <w:tcPr>
            <w:tcW w:w="5590" w:type="dxa"/>
            <w:vAlign w:val="center"/>
          </w:tcPr>
          <w:p>
            <w:pPr>
              <w:jc w:val="center"/>
              <w:rPr>
                <w:rFonts w:ascii="仿宋" w:hAnsi="仿宋" w:eastAsia="仿宋" w:cs="仿宋"/>
                <w:sz w:val="24"/>
              </w:rPr>
            </w:pPr>
            <w:r>
              <w:rPr>
                <w:rFonts w:hint="eastAsia" w:ascii="仿宋" w:hAnsi="仿宋" w:eastAsia="仿宋" w:cs="仿宋"/>
                <w:sz w:val="24"/>
              </w:rPr>
              <w:t>休闲农业与经营</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8</w:t>
            </w:r>
          </w:p>
        </w:tc>
        <w:tc>
          <w:tcPr>
            <w:tcW w:w="5590" w:type="dxa"/>
            <w:vAlign w:val="center"/>
          </w:tcPr>
          <w:p>
            <w:pPr>
              <w:jc w:val="center"/>
              <w:rPr>
                <w:rFonts w:ascii="仿宋" w:hAnsi="仿宋" w:eastAsia="仿宋" w:cs="仿宋"/>
                <w:sz w:val="24"/>
              </w:rPr>
            </w:pPr>
            <w:r>
              <w:rPr>
                <w:rFonts w:hint="eastAsia" w:ascii="仿宋" w:hAnsi="仿宋" w:eastAsia="仿宋" w:cs="仿宋"/>
                <w:sz w:val="24"/>
              </w:rPr>
              <w:t>园林美术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9</w:t>
            </w:r>
          </w:p>
        </w:tc>
        <w:tc>
          <w:tcPr>
            <w:tcW w:w="5590" w:type="dxa"/>
            <w:vAlign w:val="center"/>
          </w:tcPr>
          <w:p>
            <w:pPr>
              <w:jc w:val="center"/>
              <w:rPr>
                <w:rFonts w:ascii="仿宋" w:hAnsi="仿宋" w:eastAsia="仿宋" w:cs="仿宋"/>
                <w:sz w:val="24"/>
              </w:rPr>
            </w:pPr>
            <w:r>
              <w:rPr>
                <w:rFonts w:hint="eastAsia" w:ascii="仿宋" w:hAnsi="仿宋" w:eastAsia="仿宋" w:cs="仿宋"/>
                <w:sz w:val="24"/>
              </w:rPr>
              <w:t>设施蔬菜栽培</w:t>
            </w:r>
          </w:p>
        </w:tc>
        <w:tc>
          <w:tcPr>
            <w:tcW w:w="3214" w:type="dxa"/>
            <w:vAlign w:val="center"/>
          </w:tcPr>
          <w:p>
            <w:pPr>
              <w:jc w:val="center"/>
              <w:rPr>
                <w:rFonts w:ascii="仿宋" w:hAnsi="仿宋" w:eastAsia="仿宋" w:cs="仿宋"/>
                <w:sz w:val="24"/>
              </w:rPr>
            </w:pPr>
            <w:r>
              <w:rPr>
                <w:rFonts w:hint="eastAsia" w:ascii="仿宋" w:hAnsi="仿宋" w:eastAsia="仿宋" w:cs="仿宋"/>
                <w:sz w:val="24"/>
              </w:rPr>
              <w:t>浙江科技出版社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10</w:t>
            </w:r>
          </w:p>
        </w:tc>
        <w:tc>
          <w:tcPr>
            <w:tcW w:w="5590" w:type="dxa"/>
            <w:vAlign w:val="center"/>
          </w:tcPr>
          <w:p>
            <w:pPr>
              <w:jc w:val="center"/>
              <w:rPr>
                <w:rFonts w:ascii="仿宋" w:hAnsi="仿宋" w:eastAsia="仿宋" w:cs="仿宋"/>
                <w:sz w:val="24"/>
              </w:rPr>
            </w:pPr>
            <w:r>
              <w:rPr>
                <w:rFonts w:hint="eastAsia" w:ascii="仿宋" w:hAnsi="仿宋" w:eastAsia="仿宋" w:cs="仿宋"/>
                <w:sz w:val="24"/>
              </w:rPr>
              <w:t>乡村旅游实务</w:t>
            </w:r>
          </w:p>
        </w:tc>
        <w:tc>
          <w:tcPr>
            <w:tcW w:w="3214" w:type="dxa"/>
            <w:vAlign w:val="center"/>
          </w:tcPr>
          <w:p>
            <w:pPr>
              <w:jc w:val="center"/>
              <w:rPr>
                <w:rFonts w:ascii="仿宋" w:hAnsi="仿宋" w:eastAsia="仿宋" w:cs="仿宋"/>
                <w:sz w:val="24"/>
              </w:rPr>
            </w:pPr>
            <w:r>
              <w:rPr>
                <w:rFonts w:hint="eastAsia" w:ascii="仿宋" w:hAnsi="仿宋" w:eastAsia="仿宋" w:cs="仿宋"/>
                <w:sz w:val="24"/>
              </w:rPr>
              <w:t>化学工业出版社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11</w:t>
            </w:r>
          </w:p>
        </w:tc>
        <w:tc>
          <w:tcPr>
            <w:tcW w:w="5590" w:type="dxa"/>
            <w:vAlign w:val="center"/>
          </w:tcPr>
          <w:p>
            <w:pPr>
              <w:jc w:val="center"/>
              <w:rPr>
                <w:rFonts w:ascii="仿宋" w:hAnsi="仿宋" w:eastAsia="仿宋" w:cs="仿宋"/>
                <w:sz w:val="24"/>
              </w:rPr>
            </w:pPr>
            <w:r>
              <w:rPr>
                <w:rFonts w:hint="eastAsia" w:ascii="仿宋" w:hAnsi="仿宋" w:eastAsia="仿宋" w:cs="仿宋"/>
                <w:sz w:val="24"/>
              </w:rPr>
              <w:t>设施果树栽培</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12</w:t>
            </w:r>
          </w:p>
        </w:tc>
        <w:tc>
          <w:tcPr>
            <w:tcW w:w="5590" w:type="dxa"/>
            <w:vAlign w:val="center"/>
          </w:tcPr>
          <w:p>
            <w:pPr>
              <w:jc w:val="center"/>
              <w:rPr>
                <w:rFonts w:ascii="仿宋" w:hAnsi="仿宋" w:eastAsia="仿宋" w:cs="仿宋"/>
                <w:sz w:val="24"/>
              </w:rPr>
            </w:pPr>
            <w:r>
              <w:rPr>
                <w:rFonts w:hint="eastAsia" w:ascii="仿宋" w:hAnsi="仿宋" w:eastAsia="仿宋" w:cs="仿宋"/>
                <w:sz w:val="24"/>
              </w:rPr>
              <w:t>农作物生产技术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13</w:t>
            </w:r>
          </w:p>
        </w:tc>
        <w:tc>
          <w:tcPr>
            <w:tcW w:w="5590" w:type="dxa"/>
            <w:vAlign w:val="center"/>
          </w:tcPr>
          <w:p>
            <w:pPr>
              <w:jc w:val="center"/>
              <w:rPr>
                <w:rFonts w:ascii="仿宋" w:hAnsi="仿宋" w:eastAsia="仿宋" w:cs="仿宋"/>
                <w:sz w:val="24"/>
              </w:rPr>
            </w:pPr>
            <w:r>
              <w:rPr>
                <w:rFonts w:hint="eastAsia" w:ascii="仿宋" w:hAnsi="仿宋" w:eastAsia="仿宋" w:cs="仿宋"/>
                <w:sz w:val="24"/>
              </w:rPr>
              <w:t>观赏植物栽培</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14</w:t>
            </w:r>
          </w:p>
        </w:tc>
        <w:tc>
          <w:tcPr>
            <w:tcW w:w="5590" w:type="dxa"/>
            <w:vAlign w:val="center"/>
          </w:tcPr>
          <w:p>
            <w:pPr>
              <w:jc w:val="center"/>
              <w:rPr>
                <w:rFonts w:ascii="仿宋" w:hAnsi="仿宋" w:eastAsia="仿宋" w:cs="仿宋"/>
                <w:sz w:val="24"/>
              </w:rPr>
            </w:pPr>
            <w:r>
              <w:rPr>
                <w:rFonts w:hint="eastAsia" w:ascii="仿宋" w:hAnsi="仿宋" w:eastAsia="仿宋" w:cs="仿宋"/>
                <w:sz w:val="24"/>
              </w:rPr>
              <w:t>园林植物病虫害防治</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15</w:t>
            </w:r>
          </w:p>
        </w:tc>
        <w:tc>
          <w:tcPr>
            <w:tcW w:w="5590" w:type="dxa"/>
            <w:vAlign w:val="center"/>
          </w:tcPr>
          <w:p>
            <w:pPr>
              <w:jc w:val="center"/>
              <w:rPr>
                <w:rFonts w:ascii="仿宋" w:hAnsi="仿宋" w:eastAsia="仿宋" w:cs="仿宋"/>
                <w:sz w:val="24"/>
              </w:rPr>
            </w:pPr>
            <w:r>
              <w:rPr>
                <w:rFonts w:hint="eastAsia" w:ascii="仿宋" w:hAnsi="仿宋" w:eastAsia="仿宋" w:cs="仿宋"/>
                <w:sz w:val="24"/>
              </w:rPr>
              <w:t>草坪养护技术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16</w:t>
            </w:r>
          </w:p>
        </w:tc>
        <w:tc>
          <w:tcPr>
            <w:tcW w:w="5590" w:type="dxa"/>
            <w:vAlign w:val="center"/>
          </w:tcPr>
          <w:p>
            <w:pPr>
              <w:jc w:val="center"/>
              <w:rPr>
                <w:rFonts w:ascii="仿宋" w:hAnsi="仿宋" w:eastAsia="仿宋" w:cs="仿宋"/>
                <w:sz w:val="24"/>
              </w:rPr>
            </w:pPr>
            <w:r>
              <w:rPr>
                <w:rFonts w:hint="eastAsia" w:ascii="仿宋" w:hAnsi="仿宋" w:eastAsia="仿宋" w:cs="仿宋"/>
                <w:sz w:val="24"/>
              </w:rPr>
              <w:t>观光农业园区规划设计</w:t>
            </w:r>
          </w:p>
        </w:tc>
        <w:tc>
          <w:tcPr>
            <w:tcW w:w="3214" w:type="dxa"/>
            <w:vAlign w:val="center"/>
          </w:tcPr>
          <w:p>
            <w:pPr>
              <w:jc w:val="center"/>
              <w:rPr>
                <w:rFonts w:ascii="仿宋" w:hAnsi="仿宋" w:eastAsia="仿宋" w:cs="仿宋"/>
                <w:sz w:val="24"/>
              </w:rPr>
            </w:pPr>
            <w:r>
              <w:rPr>
                <w:rFonts w:hint="eastAsia" w:ascii="仿宋" w:hAnsi="仿宋" w:eastAsia="仿宋" w:cs="仿宋"/>
                <w:sz w:val="24"/>
              </w:rPr>
              <w:t>化学工业出版社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17</w:t>
            </w:r>
          </w:p>
        </w:tc>
        <w:tc>
          <w:tcPr>
            <w:tcW w:w="5590" w:type="dxa"/>
            <w:vAlign w:val="center"/>
          </w:tcPr>
          <w:p>
            <w:pPr>
              <w:jc w:val="center"/>
              <w:rPr>
                <w:rFonts w:ascii="仿宋" w:hAnsi="仿宋" w:eastAsia="仿宋" w:cs="仿宋"/>
                <w:sz w:val="24"/>
              </w:rPr>
            </w:pPr>
            <w:r>
              <w:rPr>
                <w:rFonts w:hint="eastAsia" w:ascii="仿宋" w:hAnsi="仿宋" w:eastAsia="仿宋" w:cs="仿宋"/>
                <w:sz w:val="24"/>
              </w:rPr>
              <w:t>园林规划设计</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18</w:t>
            </w:r>
          </w:p>
        </w:tc>
        <w:tc>
          <w:tcPr>
            <w:tcW w:w="5590" w:type="dxa"/>
            <w:vAlign w:val="center"/>
          </w:tcPr>
          <w:p>
            <w:pPr>
              <w:jc w:val="center"/>
              <w:rPr>
                <w:rFonts w:ascii="仿宋" w:hAnsi="仿宋" w:eastAsia="仿宋" w:cs="仿宋"/>
                <w:sz w:val="24"/>
              </w:rPr>
            </w:pPr>
            <w:r>
              <w:rPr>
                <w:rFonts w:hint="eastAsia" w:ascii="仿宋" w:hAnsi="仿宋" w:eastAsia="仿宋" w:cs="仿宋"/>
                <w:sz w:val="24"/>
              </w:rPr>
              <w:t>室内植物装饰设计</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中国建材工业出版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19</w:t>
            </w:r>
          </w:p>
        </w:tc>
        <w:tc>
          <w:tcPr>
            <w:tcW w:w="5590" w:type="dxa"/>
            <w:vAlign w:val="center"/>
          </w:tcPr>
          <w:p>
            <w:pPr>
              <w:jc w:val="center"/>
              <w:rPr>
                <w:rFonts w:ascii="仿宋" w:hAnsi="仿宋" w:eastAsia="仿宋" w:cs="仿宋"/>
                <w:sz w:val="24"/>
              </w:rPr>
            </w:pPr>
            <w:r>
              <w:rPr>
                <w:rFonts w:hint="eastAsia" w:ascii="仿宋" w:hAnsi="仿宋" w:eastAsia="仿宋" w:cs="仿宋"/>
                <w:sz w:val="24"/>
              </w:rPr>
              <w:t>导游实务</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20</w:t>
            </w:r>
          </w:p>
        </w:tc>
        <w:tc>
          <w:tcPr>
            <w:tcW w:w="5590" w:type="dxa"/>
            <w:vAlign w:val="center"/>
          </w:tcPr>
          <w:p>
            <w:pPr>
              <w:jc w:val="center"/>
              <w:rPr>
                <w:rFonts w:ascii="仿宋" w:hAnsi="仿宋" w:eastAsia="仿宋" w:cs="仿宋"/>
                <w:sz w:val="24"/>
              </w:rPr>
            </w:pPr>
            <w:r>
              <w:rPr>
                <w:rFonts w:hint="eastAsia" w:ascii="仿宋" w:hAnsi="仿宋" w:eastAsia="仿宋" w:cs="仿宋"/>
                <w:sz w:val="24"/>
              </w:rPr>
              <w:t>旅游政策与法规</w:t>
            </w:r>
          </w:p>
        </w:tc>
        <w:tc>
          <w:tcPr>
            <w:tcW w:w="3214" w:type="dxa"/>
            <w:vAlign w:val="center"/>
          </w:tcPr>
          <w:p>
            <w:pPr>
              <w:jc w:val="center"/>
              <w:rPr>
                <w:rFonts w:ascii="仿宋" w:hAnsi="仿宋" w:eastAsia="仿宋" w:cs="仿宋"/>
                <w:sz w:val="24"/>
              </w:rPr>
            </w:pPr>
            <w:r>
              <w:rPr>
                <w:rFonts w:hint="eastAsia" w:ascii="仿宋" w:hAnsi="仿宋" w:eastAsia="仿宋" w:cs="仿宋"/>
                <w:sz w:val="24"/>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21</w:t>
            </w:r>
          </w:p>
        </w:tc>
        <w:tc>
          <w:tcPr>
            <w:tcW w:w="5590" w:type="dxa"/>
            <w:vAlign w:val="center"/>
          </w:tcPr>
          <w:p>
            <w:pPr>
              <w:jc w:val="center"/>
              <w:rPr>
                <w:rFonts w:ascii="仿宋" w:hAnsi="仿宋" w:eastAsia="仿宋" w:cs="仿宋"/>
                <w:sz w:val="24"/>
              </w:rPr>
            </w:pPr>
            <w:r>
              <w:rPr>
                <w:rFonts w:hint="eastAsia" w:ascii="仿宋" w:hAnsi="仿宋" w:eastAsia="仿宋" w:cs="仿宋"/>
                <w:sz w:val="24"/>
              </w:rPr>
              <w:t>旅游市场营销</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东北师范大学出版社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22</w:t>
            </w:r>
          </w:p>
        </w:tc>
        <w:tc>
          <w:tcPr>
            <w:tcW w:w="5590" w:type="dxa"/>
            <w:vAlign w:val="center"/>
          </w:tcPr>
          <w:p>
            <w:pPr>
              <w:jc w:val="center"/>
              <w:rPr>
                <w:rFonts w:ascii="仿宋" w:hAnsi="仿宋" w:eastAsia="仿宋" w:cs="仿宋"/>
                <w:sz w:val="24"/>
              </w:rPr>
            </w:pPr>
            <w:r>
              <w:rPr>
                <w:rFonts w:hint="eastAsia" w:ascii="仿宋" w:hAnsi="仿宋" w:eastAsia="仿宋" w:cs="仿宋"/>
                <w:sz w:val="24"/>
              </w:rPr>
              <w:t>茶艺</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23</w:t>
            </w:r>
          </w:p>
        </w:tc>
        <w:tc>
          <w:tcPr>
            <w:tcW w:w="5590" w:type="dxa"/>
            <w:vAlign w:val="center"/>
          </w:tcPr>
          <w:p>
            <w:pPr>
              <w:jc w:val="center"/>
              <w:rPr>
                <w:rFonts w:ascii="仿宋" w:hAnsi="仿宋" w:eastAsia="仿宋" w:cs="仿宋"/>
                <w:sz w:val="24"/>
              </w:rPr>
            </w:pPr>
            <w:r>
              <w:rPr>
                <w:rFonts w:hint="eastAsia" w:ascii="仿宋" w:hAnsi="仿宋" w:eastAsia="仿宋" w:cs="仿宋"/>
                <w:sz w:val="24"/>
              </w:rPr>
              <w:t>特种经济动物养殖技术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化学工业出版社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24</w:t>
            </w:r>
          </w:p>
        </w:tc>
        <w:tc>
          <w:tcPr>
            <w:tcW w:w="5590" w:type="dxa"/>
            <w:vAlign w:val="center"/>
          </w:tcPr>
          <w:p>
            <w:pPr>
              <w:jc w:val="center"/>
              <w:rPr>
                <w:rFonts w:ascii="仿宋" w:hAnsi="仿宋" w:eastAsia="仿宋" w:cs="仿宋"/>
                <w:sz w:val="24"/>
              </w:rPr>
            </w:pPr>
            <w:r>
              <w:rPr>
                <w:rFonts w:hint="eastAsia" w:ascii="仿宋" w:hAnsi="仿宋" w:eastAsia="仿宋" w:cs="仿宋"/>
                <w:sz w:val="24"/>
              </w:rPr>
              <w:t>艺术插花</w:t>
            </w:r>
          </w:p>
        </w:tc>
        <w:tc>
          <w:tcPr>
            <w:tcW w:w="3214" w:type="dxa"/>
            <w:vAlign w:val="center"/>
          </w:tcPr>
          <w:p>
            <w:pPr>
              <w:jc w:val="center"/>
              <w:rPr>
                <w:rFonts w:ascii="仿宋" w:hAnsi="仿宋" w:eastAsia="仿宋" w:cs="仿宋"/>
                <w:sz w:val="24"/>
              </w:rPr>
            </w:pPr>
            <w:r>
              <w:rPr>
                <w:rFonts w:hint="eastAsia" w:ascii="仿宋" w:hAnsi="仿宋" w:eastAsia="仿宋" w:cs="仿宋"/>
                <w:sz w:val="24"/>
              </w:rPr>
              <w:t>化学工业出版社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25</w:t>
            </w:r>
          </w:p>
        </w:tc>
        <w:tc>
          <w:tcPr>
            <w:tcW w:w="5590" w:type="dxa"/>
            <w:vAlign w:val="center"/>
          </w:tcPr>
          <w:p>
            <w:pPr>
              <w:jc w:val="center"/>
              <w:rPr>
                <w:rFonts w:ascii="仿宋" w:hAnsi="仿宋" w:eastAsia="仿宋" w:cs="仿宋"/>
                <w:sz w:val="24"/>
              </w:rPr>
            </w:pPr>
            <w:r>
              <w:rPr>
                <w:rFonts w:hint="eastAsia" w:ascii="仿宋" w:hAnsi="仿宋" w:eastAsia="仿宋" w:cs="仿宋"/>
                <w:sz w:val="24"/>
              </w:rPr>
              <w:t>食用菌高效栽培</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26</w:t>
            </w:r>
          </w:p>
        </w:tc>
        <w:tc>
          <w:tcPr>
            <w:tcW w:w="5590" w:type="dxa"/>
            <w:vAlign w:val="center"/>
          </w:tcPr>
          <w:p>
            <w:pPr>
              <w:jc w:val="center"/>
              <w:rPr>
                <w:rFonts w:ascii="仿宋" w:hAnsi="仿宋" w:eastAsia="仿宋" w:cs="仿宋"/>
                <w:sz w:val="24"/>
              </w:rPr>
            </w:pPr>
            <w:r>
              <w:rPr>
                <w:rFonts w:hint="eastAsia" w:ascii="仿宋" w:hAnsi="仿宋" w:eastAsia="仿宋" w:cs="仿宋"/>
                <w:sz w:val="24"/>
              </w:rPr>
              <w:t>特色中药材栽培技术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Align w:val="center"/>
          </w:tcPr>
          <w:p>
            <w:pPr>
              <w:jc w:val="center"/>
              <w:rPr>
                <w:rFonts w:ascii="仿宋" w:hAnsi="仿宋" w:eastAsia="仿宋" w:cs="仿宋"/>
                <w:sz w:val="24"/>
              </w:rPr>
            </w:pPr>
            <w:r>
              <w:rPr>
                <w:rFonts w:hint="eastAsia" w:ascii="仿宋" w:hAnsi="仿宋" w:eastAsia="仿宋" w:cs="仿宋"/>
                <w:sz w:val="24"/>
              </w:rPr>
              <w:t>27</w:t>
            </w:r>
          </w:p>
        </w:tc>
        <w:tc>
          <w:tcPr>
            <w:tcW w:w="5590" w:type="dxa"/>
            <w:vAlign w:val="center"/>
          </w:tcPr>
          <w:p>
            <w:pPr>
              <w:jc w:val="center"/>
              <w:rPr>
                <w:rFonts w:ascii="仿宋" w:hAnsi="仿宋" w:eastAsia="仿宋" w:cs="仿宋"/>
                <w:sz w:val="24"/>
              </w:rPr>
            </w:pPr>
            <w:r>
              <w:rPr>
                <w:rFonts w:hint="eastAsia" w:ascii="仿宋" w:hAnsi="仿宋" w:eastAsia="仿宋" w:cs="仿宋"/>
                <w:sz w:val="24"/>
              </w:rPr>
              <w:t>茶树栽培技术</w:t>
            </w:r>
          </w:p>
        </w:tc>
        <w:tc>
          <w:tcPr>
            <w:tcW w:w="3214" w:type="dxa"/>
            <w:vAlign w:val="center"/>
          </w:tcPr>
          <w:p>
            <w:pPr>
              <w:jc w:val="center"/>
              <w:rPr>
                <w:rFonts w:ascii="仿宋" w:hAnsi="仿宋" w:eastAsia="仿宋" w:cs="仿宋"/>
                <w:sz w:val="24"/>
              </w:rPr>
            </w:pPr>
            <w:r>
              <w:rPr>
                <w:rFonts w:hint="eastAsia" w:ascii="仿宋" w:hAnsi="仿宋" w:eastAsia="仿宋" w:cs="仿宋"/>
                <w:sz w:val="24"/>
              </w:rPr>
              <w:t>中国农业出版社</w:t>
            </w:r>
          </w:p>
        </w:tc>
      </w:tr>
    </w:tbl>
    <w:p>
      <w:pPr>
        <w:ind w:firstLine="480"/>
        <w:rPr>
          <w:rFonts w:ascii="仿宋_GB2312" w:eastAsia="仿宋_GB2312"/>
          <w:color w:val="000000" w:themeColor="text1"/>
          <w:sz w:val="28"/>
          <w:szCs w:val="28"/>
        </w:rPr>
      </w:pPr>
      <w:r>
        <w:rPr>
          <w:rFonts w:eastAsia="仿宋" w:cs="Calibri"/>
          <w:sz w:val="24"/>
        </w:rPr>
        <w:t>②</w:t>
      </w:r>
      <w:r>
        <w:rPr>
          <w:rFonts w:hint="eastAsia" w:ascii="仿宋_GB2312" w:eastAsia="仿宋_GB2312"/>
          <w:color w:val="000000" w:themeColor="text1"/>
          <w:sz w:val="28"/>
          <w:szCs w:val="28"/>
        </w:rPr>
        <w:t>课程资源</w:t>
      </w:r>
    </w:p>
    <w:p>
      <w:pPr>
        <w:jc w:val="center"/>
        <w:rPr>
          <w:rFonts w:ascii="仿宋_GB2312" w:eastAsia="仿宋_GB2312"/>
          <w:color w:val="000000" w:themeColor="text1"/>
          <w:sz w:val="28"/>
          <w:szCs w:val="28"/>
        </w:rPr>
      </w:pPr>
      <w:r>
        <w:rPr>
          <w:rFonts w:hint="eastAsia" w:ascii="仿宋" w:hAnsi="仿宋" w:eastAsia="仿宋" w:cs="仿宋"/>
          <w:sz w:val="24"/>
        </w:rPr>
        <w:t>表：21休闲农业生产与经营专业课程资源一览表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4329"/>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序号</w:t>
            </w:r>
          </w:p>
        </w:tc>
        <w:tc>
          <w:tcPr>
            <w:tcW w:w="4898" w:type="dxa"/>
            <w:vAlign w:val="center"/>
          </w:tcPr>
          <w:p>
            <w:pPr>
              <w:jc w:val="center"/>
              <w:rPr>
                <w:rFonts w:ascii="仿宋" w:hAnsi="仿宋" w:eastAsia="仿宋" w:cs="仿宋"/>
                <w:sz w:val="24"/>
              </w:rPr>
            </w:pPr>
            <w:r>
              <w:rPr>
                <w:rFonts w:hint="eastAsia" w:ascii="仿宋" w:hAnsi="仿宋" w:eastAsia="仿宋" w:cs="仿宋"/>
                <w:sz w:val="24"/>
              </w:rPr>
              <w:t>课程名称</w:t>
            </w:r>
          </w:p>
        </w:tc>
        <w:tc>
          <w:tcPr>
            <w:tcW w:w="3920" w:type="dxa"/>
            <w:vAlign w:val="center"/>
          </w:tcPr>
          <w:p>
            <w:pPr>
              <w:jc w:val="center"/>
              <w:rPr>
                <w:rFonts w:ascii="仿宋" w:hAnsi="仿宋" w:eastAsia="仿宋" w:cs="仿宋"/>
                <w:sz w:val="24"/>
              </w:rPr>
            </w:pPr>
            <w:r>
              <w:rPr>
                <w:rFonts w:hint="eastAsia" w:ascii="仿宋" w:hAnsi="仿宋" w:eastAsia="仿宋" w:cs="仿宋"/>
                <w:sz w:val="24"/>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1</w:t>
            </w:r>
          </w:p>
        </w:tc>
        <w:tc>
          <w:tcPr>
            <w:tcW w:w="4898" w:type="dxa"/>
            <w:vAlign w:val="center"/>
          </w:tcPr>
          <w:p>
            <w:pPr>
              <w:jc w:val="center"/>
              <w:rPr>
                <w:rFonts w:ascii="仿宋" w:hAnsi="仿宋" w:eastAsia="仿宋" w:cs="仿宋"/>
                <w:sz w:val="24"/>
              </w:rPr>
            </w:pPr>
            <w:r>
              <w:rPr>
                <w:rFonts w:hint="eastAsia" w:ascii="仿宋" w:hAnsi="仿宋" w:eastAsia="仿宋" w:cs="仿宋"/>
                <w:sz w:val="24"/>
              </w:rPr>
              <w:t>设施蔬菜栽培</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2</w:t>
            </w:r>
          </w:p>
        </w:tc>
        <w:tc>
          <w:tcPr>
            <w:tcW w:w="4898" w:type="dxa"/>
            <w:vAlign w:val="center"/>
          </w:tcPr>
          <w:p>
            <w:pPr>
              <w:jc w:val="center"/>
              <w:rPr>
                <w:rFonts w:ascii="仿宋" w:hAnsi="仿宋" w:eastAsia="仿宋" w:cs="仿宋"/>
                <w:sz w:val="24"/>
              </w:rPr>
            </w:pPr>
            <w:r>
              <w:rPr>
                <w:rFonts w:hint="eastAsia" w:ascii="仿宋" w:hAnsi="仿宋" w:eastAsia="仿宋" w:cs="仿宋"/>
                <w:sz w:val="24"/>
              </w:rPr>
              <w:t>设施果树栽培观赏植物栽培</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3</w:t>
            </w:r>
          </w:p>
        </w:tc>
        <w:tc>
          <w:tcPr>
            <w:tcW w:w="4898" w:type="dxa"/>
            <w:vAlign w:val="center"/>
          </w:tcPr>
          <w:p>
            <w:pPr>
              <w:jc w:val="center"/>
              <w:rPr>
                <w:rFonts w:ascii="仿宋" w:hAnsi="仿宋" w:eastAsia="仿宋" w:cs="仿宋"/>
                <w:sz w:val="24"/>
              </w:rPr>
            </w:pPr>
            <w:r>
              <w:rPr>
                <w:rFonts w:hint="eastAsia" w:ascii="仿宋" w:hAnsi="仿宋" w:eastAsia="仿宋" w:cs="仿宋"/>
                <w:sz w:val="24"/>
              </w:rPr>
              <w:t>观赏植物栽培</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4</w:t>
            </w:r>
          </w:p>
        </w:tc>
        <w:tc>
          <w:tcPr>
            <w:tcW w:w="4898" w:type="dxa"/>
            <w:vAlign w:val="center"/>
          </w:tcPr>
          <w:p>
            <w:pPr>
              <w:jc w:val="center"/>
              <w:rPr>
                <w:rFonts w:ascii="仿宋" w:hAnsi="仿宋" w:eastAsia="仿宋" w:cs="仿宋"/>
                <w:sz w:val="24"/>
              </w:rPr>
            </w:pPr>
            <w:r>
              <w:rPr>
                <w:rFonts w:hint="eastAsia" w:ascii="仿宋" w:hAnsi="仿宋" w:eastAsia="仿宋" w:cs="仿宋"/>
                <w:sz w:val="24"/>
              </w:rPr>
              <w:t>休闲农业与经营</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5</w:t>
            </w:r>
          </w:p>
        </w:tc>
        <w:tc>
          <w:tcPr>
            <w:tcW w:w="4898" w:type="dxa"/>
            <w:vAlign w:val="center"/>
          </w:tcPr>
          <w:p>
            <w:pPr>
              <w:jc w:val="center"/>
              <w:rPr>
                <w:rFonts w:ascii="仿宋" w:hAnsi="仿宋" w:eastAsia="仿宋" w:cs="仿宋"/>
                <w:sz w:val="24"/>
              </w:rPr>
            </w:pPr>
            <w:r>
              <w:rPr>
                <w:rFonts w:hint="eastAsia" w:ascii="仿宋" w:hAnsi="仿宋" w:eastAsia="仿宋" w:cs="仿宋"/>
                <w:sz w:val="24"/>
              </w:rPr>
              <w:t>艺术插花</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6</w:t>
            </w:r>
          </w:p>
        </w:tc>
        <w:tc>
          <w:tcPr>
            <w:tcW w:w="4898" w:type="dxa"/>
            <w:vAlign w:val="center"/>
          </w:tcPr>
          <w:p>
            <w:pPr>
              <w:jc w:val="center"/>
              <w:rPr>
                <w:rFonts w:ascii="仿宋" w:hAnsi="仿宋" w:eastAsia="仿宋" w:cs="仿宋"/>
                <w:sz w:val="24"/>
              </w:rPr>
            </w:pPr>
            <w:r>
              <w:rPr>
                <w:rFonts w:hint="eastAsia" w:ascii="仿宋" w:hAnsi="仿宋" w:eastAsia="仿宋" w:cs="仿宋"/>
                <w:sz w:val="24"/>
              </w:rPr>
              <w:t>特种经济动物养殖技术</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7</w:t>
            </w:r>
          </w:p>
        </w:tc>
        <w:tc>
          <w:tcPr>
            <w:tcW w:w="4898" w:type="dxa"/>
            <w:vAlign w:val="center"/>
          </w:tcPr>
          <w:p>
            <w:pPr>
              <w:jc w:val="center"/>
              <w:rPr>
                <w:rFonts w:ascii="仿宋" w:hAnsi="仿宋" w:eastAsia="仿宋" w:cs="仿宋"/>
                <w:sz w:val="24"/>
              </w:rPr>
            </w:pPr>
            <w:r>
              <w:rPr>
                <w:rFonts w:hint="eastAsia" w:ascii="仿宋" w:hAnsi="仿宋" w:eastAsia="仿宋" w:cs="仿宋"/>
                <w:sz w:val="24"/>
              </w:rPr>
              <w:t>园林植物病虫害防治</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8</w:t>
            </w:r>
          </w:p>
        </w:tc>
        <w:tc>
          <w:tcPr>
            <w:tcW w:w="4898" w:type="dxa"/>
            <w:vAlign w:val="center"/>
          </w:tcPr>
          <w:p>
            <w:pPr>
              <w:jc w:val="center"/>
              <w:rPr>
                <w:rFonts w:ascii="仿宋" w:hAnsi="仿宋" w:eastAsia="仿宋" w:cs="仿宋"/>
                <w:sz w:val="24"/>
              </w:rPr>
            </w:pPr>
            <w:r>
              <w:rPr>
                <w:rFonts w:hint="eastAsia" w:ascii="仿宋" w:hAnsi="仿宋" w:eastAsia="仿宋" w:cs="仿宋"/>
                <w:sz w:val="24"/>
              </w:rPr>
              <w:t>食用菌高效栽培</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9</w:t>
            </w:r>
          </w:p>
        </w:tc>
        <w:tc>
          <w:tcPr>
            <w:tcW w:w="4898" w:type="dxa"/>
            <w:vAlign w:val="center"/>
          </w:tcPr>
          <w:p>
            <w:pPr>
              <w:jc w:val="center"/>
              <w:rPr>
                <w:rFonts w:ascii="仿宋" w:hAnsi="仿宋" w:eastAsia="仿宋" w:cs="仿宋"/>
                <w:sz w:val="24"/>
              </w:rPr>
            </w:pPr>
            <w:r>
              <w:rPr>
                <w:rFonts w:hint="eastAsia" w:ascii="仿宋" w:hAnsi="仿宋" w:eastAsia="仿宋" w:cs="仿宋"/>
                <w:sz w:val="24"/>
              </w:rPr>
              <w:t>特色中药材栽培技术</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10</w:t>
            </w:r>
          </w:p>
        </w:tc>
        <w:tc>
          <w:tcPr>
            <w:tcW w:w="4898" w:type="dxa"/>
            <w:vAlign w:val="center"/>
          </w:tcPr>
          <w:p>
            <w:pPr>
              <w:jc w:val="center"/>
              <w:rPr>
                <w:rFonts w:ascii="仿宋" w:hAnsi="仿宋" w:eastAsia="仿宋" w:cs="仿宋"/>
                <w:sz w:val="24"/>
              </w:rPr>
            </w:pPr>
            <w:r>
              <w:rPr>
                <w:rFonts w:hint="eastAsia" w:ascii="仿宋" w:hAnsi="仿宋" w:eastAsia="仿宋" w:cs="仿宋"/>
                <w:sz w:val="24"/>
              </w:rPr>
              <w:t>茶树栽培技术</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2" w:type="dxa"/>
            <w:vAlign w:val="center"/>
          </w:tcPr>
          <w:p>
            <w:pPr>
              <w:jc w:val="center"/>
              <w:rPr>
                <w:rFonts w:ascii="仿宋" w:hAnsi="仿宋" w:eastAsia="仿宋" w:cs="仿宋"/>
                <w:sz w:val="24"/>
              </w:rPr>
            </w:pPr>
            <w:r>
              <w:rPr>
                <w:rFonts w:hint="eastAsia" w:ascii="仿宋" w:hAnsi="仿宋" w:eastAsia="仿宋" w:cs="仿宋"/>
                <w:sz w:val="24"/>
              </w:rPr>
              <w:t>11</w:t>
            </w:r>
          </w:p>
        </w:tc>
        <w:tc>
          <w:tcPr>
            <w:tcW w:w="4898" w:type="dxa"/>
            <w:vAlign w:val="center"/>
          </w:tcPr>
          <w:p>
            <w:pPr>
              <w:jc w:val="center"/>
              <w:rPr>
                <w:rFonts w:ascii="仿宋" w:hAnsi="仿宋" w:eastAsia="仿宋" w:cs="仿宋"/>
                <w:sz w:val="24"/>
              </w:rPr>
            </w:pPr>
            <w:r>
              <w:rPr>
                <w:rFonts w:hint="eastAsia" w:ascii="仿宋" w:hAnsi="仿宋" w:eastAsia="仿宋" w:cs="仿宋"/>
                <w:sz w:val="24"/>
              </w:rPr>
              <w:t>茶艺</w:t>
            </w:r>
          </w:p>
        </w:tc>
        <w:tc>
          <w:tcPr>
            <w:tcW w:w="3920" w:type="dxa"/>
            <w:vAlign w:val="center"/>
          </w:tcPr>
          <w:p>
            <w:pPr>
              <w:jc w:val="center"/>
              <w:rPr>
                <w:rFonts w:ascii="仿宋" w:hAnsi="仿宋" w:eastAsia="仿宋" w:cs="仿宋"/>
                <w:sz w:val="24"/>
              </w:rPr>
            </w:pPr>
            <w:r>
              <w:rPr>
                <w:rFonts w:hint="eastAsia" w:ascii="仿宋" w:hAnsi="仿宋" w:eastAsia="仿宋" w:cs="仿宋"/>
                <w:sz w:val="24"/>
              </w:rPr>
              <w:t>http://www.weijiangshi.cn/login.html</w:t>
            </w:r>
          </w:p>
        </w:tc>
      </w:tr>
    </w:tbl>
    <w:p>
      <w:pPr>
        <w:spacing w:line="480" w:lineRule="exact"/>
        <w:rPr>
          <w:rFonts w:ascii="仿宋" w:hAnsi="仿宋" w:eastAsia="仿宋" w:cs="仿宋"/>
          <w:sz w:val="28"/>
          <w:szCs w:val="28"/>
        </w:rPr>
      </w:pPr>
      <w:r>
        <w:rPr>
          <w:rFonts w:hint="eastAsia" w:ascii="仿宋" w:hAnsi="仿宋" w:eastAsia="仿宋" w:cs="仿宋"/>
          <w:sz w:val="28"/>
          <w:szCs w:val="28"/>
        </w:rPr>
        <w:t>　　4.学校现有校园数字化资源平台、微讲师平台、企业微信、问卷星，开展信息化教学，平台资源丰富。</w:t>
      </w:r>
    </w:p>
    <w:p>
      <w:pPr>
        <w:keepNext/>
        <w:keepLines/>
        <w:spacing w:before="100" w:after="80" w:line="480" w:lineRule="exact"/>
        <w:jc w:val="left"/>
        <w:outlineLvl w:val="1"/>
        <w:rPr>
          <w:rFonts w:eastAsia="仿宋"/>
          <w:b/>
          <w:bCs/>
          <w:sz w:val="28"/>
        </w:rPr>
      </w:pPr>
      <w:bookmarkStart w:id="41" w:name="_Toc355954833"/>
      <w:r>
        <w:rPr>
          <w:rFonts w:hint="eastAsia" w:eastAsia="仿宋"/>
          <w:b/>
          <w:bCs/>
          <w:sz w:val="28"/>
        </w:rPr>
        <w:t>（四）教学方法</w:t>
      </w:r>
      <w:bookmarkEnd w:id="41"/>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1.公共基础课</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教师在教学实践中强化课程思政，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案例教学法、自主学习等多种教学方法，践行“做中学”，教学过程突出“以学生为中心”，从而促进学生职业能力的培养，有效地培养学生解决问题的能力及可持续发展的能力。</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2.专业技能课</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休闲农业生产与经营相关知识和技能，同时获得职业能力，提高人才的培养质量。</w:t>
      </w:r>
    </w:p>
    <w:p>
      <w:pPr>
        <w:keepNext/>
        <w:keepLines/>
        <w:spacing w:before="100" w:after="80" w:line="480" w:lineRule="exact"/>
        <w:jc w:val="left"/>
        <w:outlineLvl w:val="1"/>
        <w:rPr>
          <w:rFonts w:eastAsia="仿宋"/>
          <w:b/>
          <w:bCs/>
          <w:sz w:val="28"/>
        </w:rPr>
      </w:pPr>
      <w:bookmarkStart w:id="42" w:name="_Toc355954834"/>
      <w:r>
        <w:rPr>
          <w:rFonts w:hint="eastAsia" w:eastAsia="仿宋"/>
          <w:b/>
          <w:bCs/>
          <w:sz w:val="28"/>
        </w:rPr>
        <w:t>（五）学习评价</w:t>
      </w:r>
      <w:bookmarkEnd w:id="42"/>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采取过程考核、终期考核与成果评估相结合的方式，注重对学生的任务完成情况、报告编写以及工作态度、团队协作和沟通能力的综合评估，力求体现学生的综合能力。</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评价的方式可以采取同学监督评价与教师评价相结合的方式。对以团队方式完成工作过程的团体，对队员的评价由队长负责，对团队总的评价由教师负责，两者结合形成队员的评价结果。</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所有必修课和选修课及实训课等均在教学过程中或完成教学目标时进行知识和技能考核。考核评分标准如下表：</w:t>
      </w:r>
    </w:p>
    <w:p>
      <w:pPr>
        <w:spacing w:line="480" w:lineRule="exact"/>
        <w:ind w:firstLine="480" w:firstLineChars="200"/>
        <w:jc w:val="center"/>
        <w:rPr>
          <w:rFonts w:ascii="仿宋" w:hAnsi="仿宋" w:eastAsia="仿宋" w:cs="仿宋"/>
          <w:color w:val="000000"/>
          <w:sz w:val="24"/>
        </w:rPr>
      </w:pPr>
      <w:r>
        <w:rPr>
          <w:rFonts w:hint="eastAsia" w:ascii="仿宋" w:hAnsi="仿宋" w:eastAsia="仿宋" w:cs="仿宋"/>
          <w:color w:val="000000"/>
          <w:sz w:val="24"/>
        </w:rPr>
        <w:t>表22：休闲农业生产与经营专业考核评分标准</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26" w:type="dxa"/>
            <w:vAlign w:val="center"/>
          </w:tcPr>
          <w:p>
            <w:pPr>
              <w:jc w:val="center"/>
              <w:rPr>
                <w:rFonts w:eastAsia="仿宋"/>
                <w:color w:val="000000"/>
                <w:sz w:val="24"/>
              </w:rPr>
            </w:pPr>
            <w:r>
              <w:rPr>
                <w:rFonts w:hint="eastAsia" w:eastAsia="仿宋"/>
                <w:color w:val="000000"/>
                <w:sz w:val="24"/>
              </w:rPr>
              <w:t>课程分类</w:t>
            </w:r>
          </w:p>
        </w:tc>
        <w:tc>
          <w:tcPr>
            <w:tcW w:w="1701" w:type="dxa"/>
            <w:vAlign w:val="center"/>
          </w:tcPr>
          <w:p>
            <w:pPr>
              <w:jc w:val="center"/>
              <w:rPr>
                <w:rFonts w:eastAsia="仿宋"/>
                <w:color w:val="000000"/>
                <w:sz w:val="24"/>
              </w:rPr>
            </w:pPr>
            <w:r>
              <w:rPr>
                <w:rFonts w:hint="eastAsia" w:eastAsia="仿宋"/>
                <w:color w:val="000000"/>
                <w:sz w:val="24"/>
              </w:rPr>
              <w:t>评分项目</w:t>
            </w:r>
          </w:p>
        </w:tc>
        <w:tc>
          <w:tcPr>
            <w:tcW w:w="1276" w:type="dxa"/>
            <w:vAlign w:val="center"/>
          </w:tcPr>
          <w:p>
            <w:pPr>
              <w:jc w:val="center"/>
              <w:rPr>
                <w:rFonts w:eastAsia="仿宋"/>
                <w:color w:val="000000"/>
                <w:sz w:val="24"/>
              </w:rPr>
            </w:pPr>
            <w:r>
              <w:rPr>
                <w:rFonts w:hint="eastAsia" w:eastAsia="仿宋"/>
                <w:color w:val="000000"/>
                <w:sz w:val="24"/>
              </w:rPr>
              <w:t>分值比例</w:t>
            </w:r>
          </w:p>
        </w:tc>
        <w:tc>
          <w:tcPr>
            <w:tcW w:w="5351" w:type="dxa"/>
            <w:vAlign w:val="center"/>
          </w:tcPr>
          <w:p>
            <w:pPr>
              <w:jc w:val="center"/>
              <w:rPr>
                <w:rFonts w:eastAsia="仿宋"/>
                <w:color w:val="000000"/>
                <w:sz w:val="24"/>
              </w:rPr>
            </w:pPr>
            <w:r>
              <w:rPr>
                <w:rFonts w:hint="eastAsia" w:eastAsia="仿宋"/>
                <w:color w:val="000000"/>
                <w:sz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eastAsia="仿宋"/>
                <w:color w:val="000000"/>
                <w:sz w:val="24"/>
              </w:rPr>
            </w:pPr>
            <w:r>
              <w:rPr>
                <w:rFonts w:hint="eastAsia" w:eastAsia="仿宋"/>
                <w:color w:val="000000"/>
                <w:sz w:val="24"/>
              </w:rPr>
              <w:t>理论课</w:t>
            </w:r>
          </w:p>
        </w:tc>
        <w:tc>
          <w:tcPr>
            <w:tcW w:w="1701" w:type="dxa"/>
            <w:vAlign w:val="center"/>
          </w:tcPr>
          <w:p>
            <w:pPr>
              <w:jc w:val="center"/>
              <w:rPr>
                <w:rFonts w:eastAsia="仿宋"/>
                <w:color w:val="000000"/>
                <w:sz w:val="24"/>
              </w:rPr>
            </w:pPr>
            <w:r>
              <w:rPr>
                <w:rFonts w:hint="eastAsia" w:eastAsia="仿宋"/>
                <w:color w:val="000000"/>
                <w:sz w:val="24"/>
              </w:rPr>
              <w:t>平时成绩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30%</w:t>
            </w:r>
          </w:p>
        </w:tc>
        <w:tc>
          <w:tcPr>
            <w:tcW w:w="5351" w:type="dxa"/>
            <w:vAlign w:val="center"/>
          </w:tcPr>
          <w:p>
            <w:pPr>
              <w:ind w:firstLine="240" w:firstLineChars="100"/>
              <w:jc w:val="left"/>
              <w:rPr>
                <w:rFonts w:eastAsia="仿宋"/>
                <w:color w:val="000000"/>
                <w:sz w:val="24"/>
              </w:rPr>
            </w:pPr>
            <w:r>
              <w:rPr>
                <w:rFonts w:hint="eastAsia" w:eastAsia="仿宋"/>
                <w:color w:val="000000"/>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半期成绩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30%</w:t>
            </w:r>
          </w:p>
        </w:tc>
        <w:tc>
          <w:tcPr>
            <w:tcW w:w="5351" w:type="dxa"/>
            <w:vAlign w:val="center"/>
          </w:tcPr>
          <w:p>
            <w:pPr>
              <w:ind w:firstLine="240" w:firstLineChars="100"/>
              <w:jc w:val="left"/>
              <w:rPr>
                <w:rFonts w:eastAsia="仿宋"/>
                <w:color w:val="000000"/>
                <w:sz w:val="24"/>
              </w:rPr>
            </w:pPr>
            <w:r>
              <w:rPr>
                <w:rFonts w:hint="eastAsia" w:eastAsia="仿宋"/>
                <w:color w:val="000000"/>
                <w:sz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期末成绩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40%</w:t>
            </w:r>
          </w:p>
        </w:tc>
        <w:tc>
          <w:tcPr>
            <w:tcW w:w="5351" w:type="dxa"/>
            <w:vAlign w:val="center"/>
          </w:tcPr>
          <w:p>
            <w:pPr>
              <w:ind w:firstLine="240" w:firstLineChars="100"/>
              <w:jc w:val="left"/>
              <w:rPr>
                <w:rFonts w:eastAsia="仿宋"/>
                <w:color w:val="000000"/>
                <w:sz w:val="24"/>
              </w:rPr>
            </w:pPr>
            <w:r>
              <w:rPr>
                <w:rFonts w:hint="eastAsia" w:eastAsia="仿宋"/>
                <w:color w:val="000000"/>
                <w:sz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eastAsia="仿宋"/>
                <w:color w:val="000000"/>
                <w:sz w:val="24"/>
              </w:rPr>
            </w:pPr>
            <w:r>
              <w:rPr>
                <w:rFonts w:hint="eastAsia" w:eastAsia="仿宋"/>
                <w:color w:val="000000"/>
                <w:sz w:val="24"/>
              </w:rPr>
              <w:t>理实一体</w:t>
            </w:r>
          </w:p>
        </w:tc>
        <w:tc>
          <w:tcPr>
            <w:tcW w:w="1701" w:type="dxa"/>
            <w:vAlign w:val="center"/>
          </w:tcPr>
          <w:p>
            <w:pPr>
              <w:jc w:val="center"/>
              <w:rPr>
                <w:rFonts w:eastAsia="仿宋"/>
                <w:color w:val="000000"/>
                <w:sz w:val="24"/>
              </w:rPr>
            </w:pPr>
            <w:r>
              <w:rPr>
                <w:rFonts w:hint="eastAsia" w:eastAsia="仿宋"/>
                <w:color w:val="000000"/>
                <w:sz w:val="24"/>
              </w:rPr>
              <w:t>平时成绩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30%</w:t>
            </w:r>
          </w:p>
        </w:tc>
        <w:tc>
          <w:tcPr>
            <w:tcW w:w="5351" w:type="dxa"/>
            <w:vAlign w:val="center"/>
          </w:tcPr>
          <w:p>
            <w:pPr>
              <w:ind w:firstLine="240" w:firstLineChars="100"/>
              <w:jc w:val="left"/>
              <w:rPr>
                <w:rFonts w:eastAsia="仿宋"/>
                <w:color w:val="000000"/>
                <w:sz w:val="24"/>
              </w:rPr>
            </w:pPr>
            <w:r>
              <w:rPr>
                <w:rFonts w:hint="eastAsia" w:eastAsia="仿宋"/>
                <w:color w:val="000000"/>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理论成绩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30%</w:t>
            </w:r>
          </w:p>
        </w:tc>
        <w:tc>
          <w:tcPr>
            <w:tcW w:w="5351" w:type="dxa"/>
            <w:vAlign w:val="center"/>
          </w:tcPr>
          <w:p>
            <w:pPr>
              <w:ind w:firstLine="240" w:firstLineChars="100"/>
              <w:jc w:val="left"/>
              <w:rPr>
                <w:rFonts w:eastAsia="仿宋"/>
                <w:color w:val="000000"/>
                <w:sz w:val="24"/>
              </w:rPr>
            </w:pPr>
            <w:r>
              <w:rPr>
                <w:rFonts w:hint="eastAsia" w:eastAsia="仿宋"/>
                <w:color w:val="000000"/>
                <w:sz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实操成绩</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40%</w:t>
            </w:r>
          </w:p>
        </w:tc>
        <w:tc>
          <w:tcPr>
            <w:tcW w:w="5351" w:type="dxa"/>
            <w:vAlign w:val="center"/>
          </w:tcPr>
          <w:p>
            <w:pPr>
              <w:ind w:firstLine="240" w:firstLineChars="100"/>
              <w:jc w:val="left"/>
              <w:rPr>
                <w:rFonts w:eastAsia="仿宋"/>
                <w:color w:val="000000"/>
                <w:sz w:val="24"/>
              </w:rPr>
            </w:pPr>
            <w:r>
              <w:rPr>
                <w:rFonts w:hint="eastAsia" w:eastAsia="仿宋"/>
                <w:color w:val="000000"/>
                <w:sz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eastAsia="仿宋"/>
                <w:color w:val="000000"/>
                <w:sz w:val="24"/>
              </w:rPr>
            </w:pPr>
            <w:r>
              <w:rPr>
                <w:rFonts w:hint="eastAsia" w:eastAsia="仿宋"/>
                <w:color w:val="000000"/>
                <w:sz w:val="24"/>
              </w:rPr>
              <w:t>实训课</w:t>
            </w:r>
          </w:p>
        </w:tc>
        <w:tc>
          <w:tcPr>
            <w:tcW w:w="1701" w:type="dxa"/>
            <w:vAlign w:val="center"/>
          </w:tcPr>
          <w:p>
            <w:pPr>
              <w:jc w:val="center"/>
              <w:rPr>
                <w:rFonts w:eastAsia="仿宋"/>
                <w:color w:val="000000"/>
                <w:sz w:val="24"/>
              </w:rPr>
            </w:pPr>
            <w:r>
              <w:rPr>
                <w:rFonts w:hint="eastAsia" w:eastAsia="仿宋"/>
                <w:color w:val="000000"/>
                <w:sz w:val="24"/>
              </w:rPr>
              <w:t>职业素养考核</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40%</w:t>
            </w:r>
          </w:p>
        </w:tc>
        <w:tc>
          <w:tcPr>
            <w:tcW w:w="5351" w:type="dxa"/>
            <w:vAlign w:val="center"/>
          </w:tcPr>
          <w:p>
            <w:pPr>
              <w:ind w:firstLine="240" w:firstLineChars="100"/>
              <w:jc w:val="left"/>
              <w:rPr>
                <w:rFonts w:eastAsia="仿宋"/>
                <w:color w:val="000000"/>
                <w:sz w:val="24"/>
              </w:rPr>
            </w:pPr>
            <w:r>
              <w:rPr>
                <w:rFonts w:hint="eastAsia" w:eastAsia="仿宋"/>
                <w:color w:val="000000"/>
                <w:sz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技能考核</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60%</w:t>
            </w:r>
          </w:p>
        </w:tc>
        <w:tc>
          <w:tcPr>
            <w:tcW w:w="5351" w:type="dxa"/>
            <w:vAlign w:val="center"/>
          </w:tcPr>
          <w:p>
            <w:pPr>
              <w:ind w:firstLine="240" w:firstLineChars="100"/>
              <w:jc w:val="left"/>
              <w:rPr>
                <w:rFonts w:eastAsia="仿宋"/>
                <w:color w:val="000000"/>
                <w:sz w:val="24"/>
              </w:rPr>
            </w:pPr>
            <w:r>
              <w:rPr>
                <w:rFonts w:hint="eastAsia" w:eastAsia="仿宋"/>
                <w:color w:val="000000"/>
                <w:sz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eastAsia="仿宋"/>
                <w:color w:val="000000"/>
                <w:sz w:val="24"/>
              </w:rPr>
            </w:pPr>
            <w:r>
              <w:rPr>
                <w:rFonts w:hint="eastAsia" w:eastAsia="仿宋"/>
                <w:color w:val="000000"/>
                <w:sz w:val="24"/>
              </w:rPr>
              <w:t>顶岗实习</w:t>
            </w:r>
          </w:p>
        </w:tc>
        <w:tc>
          <w:tcPr>
            <w:tcW w:w="1701" w:type="dxa"/>
            <w:vAlign w:val="center"/>
          </w:tcPr>
          <w:p>
            <w:pPr>
              <w:jc w:val="center"/>
              <w:rPr>
                <w:rFonts w:eastAsia="仿宋"/>
                <w:color w:val="000000"/>
                <w:sz w:val="24"/>
              </w:rPr>
            </w:pPr>
            <w:r>
              <w:rPr>
                <w:rFonts w:hint="eastAsia" w:eastAsia="仿宋"/>
                <w:color w:val="000000"/>
                <w:sz w:val="24"/>
              </w:rPr>
              <w:t>学生自评</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20%</w:t>
            </w:r>
          </w:p>
        </w:tc>
        <w:tc>
          <w:tcPr>
            <w:tcW w:w="5351" w:type="dxa"/>
            <w:vAlign w:val="center"/>
          </w:tcPr>
          <w:p>
            <w:pPr>
              <w:ind w:firstLine="240" w:firstLineChars="100"/>
              <w:jc w:val="left"/>
              <w:rPr>
                <w:rFonts w:eastAsia="仿宋"/>
                <w:color w:val="000000"/>
                <w:sz w:val="24"/>
              </w:rPr>
            </w:pPr>
            <w:r>
              <w:rPr>
                <w:rFonts w:hint="eastAsia" w:eastAsia="仿宋"/>
                <w:color w:val="000000"/>
                <w:sz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企业考核</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40%</w:t>
            </w:r>
          </w:p>
        </w:tc>
        <w:tc>
          <w:tcPr>
            <w:tcW w:w="5351" w:type="dxa"/>
            <w:vAlign w:val="center"/>
          </w:tcPr>
          <w:p>
            <w:pPr>
              <w:ind w:firstLine="240" w:firstLineChars="100"/>
              <w:jc w:val="left"/>
              <w:rPr>
                <w:rFonts w:eastAsia="仿宋"/>
                <w:color w:val="000000"/>
                <w:sz w:val="24"/>
              </w:rPr>
            </w:pPr>
            <w:r>
              <w:rPr>
                <w:rFonts w:hint="eastAsia" w:eastAsia="仿宋"/>
                <w:color w:val="000000"/>
                <w:sz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实习报告</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20%</w:t>
            </w:r>
          </w:p>
        </w:tc>
        <w:tc>
          <w:tcPr>
            <w:tcW w:w="5351" w:type="dxa"/>
            <w:vAlign w:val="center"/>
          </w:tcPr>
          <w:p>
            <w:pPr>
              <w:ind w:firstLine="240" w:firstLineChars="100"/>
              <w:jc w:val="left"/>
              <w:rPr>
                <w:rFonts w:eastAsia="仿宋"/>
                <w:color w:val="000000"/>
                <w:sz w:val="24"/>
              </w:rPr>
            </w:pPr>
            <w:r>
              <w:rPr>
                <w:rFonts w:hint="eastAsia" w:eastAsia="仿宋"/>
                <w:color w:val="000000"/>
                <w:sz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eastAsia="仿宋"/>
                <w:color w:val="000000"/>
                <w:sz w:val="24"/>
              </w:rPr>
            </w:pPr>
          </w:p>
        </w:tc>
        <w:tc>
          <w:tcPr>
            <w:tcW w:w="1701" w:type="dxa"/>
            <w:vAlign w:val="center"/>
          </w:tcPr>
          <w:p>
            <w:pPr>
              <w:jc w:val="center"/>
              <w:rPr>
                <w:rFonts w:eastAsia="仿宋"/>
                <w:color w:val="000000"/>
                <w:sz w:val="24"/>
              </w:rPr>
            </w:pPr>
            <w:r>
              <w:rPr>
                <w:rFonts w:hint="eastAsia" w:eastAsia="仿宋"/>
                <w:color w:val="000000"/>
                <w:sz w:val="24"/>
              </w:rPr>
              <w:t>实习带队教师考评</w:t>
            </w:r>
          </w:p>
        </w:tc>
        <w:tc>
          <w:tcPr>
            <w:tcW w:w="1276" w:type="dxa"/>
            <w:vAlign w:val="center"/>
          </w:tcPr>
          <w:p>
            <w:pPr>
              <w:spacing w:line="480" w:lineRule="exact"/>
              <w:jc w:val="center"/>
              <w:rPr>
                <w:rFonts w:ascii="仿宋" w:hAnsi="仿宋" w:eastAsia="仿宋" w:cs="仿宋"/>
                <w:sz w:val="24"/>
              </w:rPr>
            </w:pPr>
            <w:r>
              <w:rPr>
                <w:rFonts w:hint="eastAsia" w:ascii="仿宋" w:hAnsi="仿宋" w:eastAsia="仿宋" w:cs="仿宋"/>
                <w:sz w:val="24"/>
              </w:rPr>
              <w:t>20%</w:t>
            </w:r>
          </w:p>
        </w:tc>
        <w:tc>
          <w:tcPr>
            <w:tcW w:w="5351" w:type="dxa"/>
            <w:vAlign w:val="center"/>
          </w:tcPr>
          <w:p>
            <w:pPr>
              <w:ind w:firstLine="240" w:firstLineChars="100"/>
              <w:jc w:val="left"/>
              <w:rPr>
                <w:rFonts w:eastAsia="仿宋"/>
                <w:color w:val="000000"/>
                <w:sz w:val="24"/>
              </w:rPr>
            </w:pPr>
            <w:r>
              <w:rPr>
                <w:rFonts w:hint="eastAsia" w:eastAsia="仿宋"/>
                <w:color w:val="000000"/>
                <w:sz w:val="24"/>
              </w:rPr>
              <w:t>由带队老师根据学生在企业的工作态度、遵守纪律和掌握的专业技能进行综合评定。</w:t>
            </w:r>
          </w:p>
        </w:tc>
      </w:tr>
    </w:tbl>
    <w:p>
      <w:pPr>
        <w:keepNext/>
        <w:keepLines/>
        <w:spacing w:before="100" w:after="80" w:line="480" w:lineRule="exact"/>
        <w:jc w:val="left"/>
        <w:outlineLvl w:val="1"/>
        <w:rPr>
          <w:rFonts w:eastAsia="仿宋"/>
          <w:b/>
          <w:bCs/>
          <w:sz w:val="28"/>
        </w:rPr>
      </w:pPr>
      <w:bookmarkStart w:id="43" w:name="_Toc355954835"/>
      <w:r>
        <w:rPr>
          <w:rFonts w:hint="eastAsia" w:eastAsia="仿宋"/>
          <w:b/>
          <w:bCs/>
          <w:sz w:val="28"/>
        </w:rPr>
        <w:t>（六）质量管理</w:t>
      </w:r>
      <w:bookmarkEnd w:id="43"/>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教学管理工作是在主管副校长领导下，实行学校、专业科两级负责，学校是教学管理的主体力量，主要通过以下形式进行：</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1.建立教学管理组织协调系统，专业科配合教务处对日常课堂教学及教学建设工作进行管理和监控，及时解决教学中出现的问题；</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2.学校、专业科两级督学系统，组织有丰富教学和教学管理经验的教师及专业科教学管理人员组成两级督学小组，实现督教、督学、督管；</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620" w:lineRule="exact"/>
        <w:outlineLvl w:val="0"/>
        <w:rPr>
          <w:rFonts w:ascii="黑体" w:eastAsia="黑体"/>
          <w:sz w:val="32"/>
          <w:szCs w:val="32"/>
        </w:rPr>
      </w:pPr>
      <w:bookmarkStart w:id="44" w:name="_Toc355954836"/>
      <w:r>
        <w:rPr>
          <w:rFonts w:hint="eastAsia" w:ascii="黑体" w:eastAsia="黑体"/>
          <w:sz w:val="32"/>
          <w:szCs w:val="32"/>
        </w:rPr>
        <w:t>九、毕业要求</w:t>
      </w:r>
      <w:bookmarkEnd w:id="44"/>
    </w:p>
    <w:bookmarkEnd w:id="39"/>
    <w:bookmarkEnd w:id="40"/>
    <w:p>
      <w:pPr>
        <w:spacing w:line="480" w:lineRule="exact"/>
        <w:ind w:firstLine="560" w:firstLineChars="200"/>
        <w:rPr>
          <w:rFonts w:ascii="仿宋" w:hAnsi="仿宋" w:eastAsia="仿宋" w:cs="仿宋"/>
          <w:sz w:val="28"/>
          <w:szCs w:val="28"/>
        </w:rPr>
      </w:pPr>
      <w:bookmarkStart w:id="45" w:name="_Toc355954837"/>
      <w:r>
        <w:rPr>
          <w:rFonts w:hint="eastAsia" w:ascii="仿宋" w:hAnsi="仿宋" w:eastAsia="仿宋" w:cs="仿宋"/>
          <w:sz w:val="28"/>
          <w:szCs w:val="28"/>
        </w:rPr>
        <w:t>1.通过规定年限的学习，修满专业人才培养方案中规定的全部课程，各科成绩必须达到60分以上或者及格以上成绩。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2.完成顶岗实习，撰写实习报告，顶岗实习考核取得合格以上成绩。</w:t>
      </w:r>
    </w:p>
    <w:p>
      <w:pPr>
        <w:spacing w:line="480" w:lineRule="exact"/>
        <w:rPr>
          <w:rFonts w:ascii="仿宋" w:hAnsi="仿宋" w:eastAsia="仿宋" w:cs="仿宋"/>
          <w:sz w:val="28"/>
          <w:szCs w:val="28"/>
        </w:rPr>
      </w:pPr>
      <w:r>
        <w:rPr>
          <w:rFonts w:hint="eastAsia" w:ascii="仿宋" w:hAnsi="仿宋" w:eastAsia="仿宋" w:cs="仿宋"/>
          <w:sz w:val="28"/>
          <w:szCs w:val="28"/>
        </w:rPr>
        <w:t>　　3.学分达到185分以上。</w:t>
      </w:r>
    </w:p>
    <w:p>
      <w:pPr>
        <w:spacing w:line="620" w:lineRule="exact"/>
        <w:outlineLvl w:val="0"/>
        <w:rPr>
          <w:rFonts w:ascii="仿宋_GB2312" w:eastAsia="仿宋_GB2312"/>
          <w:color w:val="C00000"/>
          <w:sz w:val="32"/>
          <w:szCs w:val="32"/>
        </w:rPr>
        <w:sectPr>
          <w:pgSz w:w="11850" w:h="16783"/>
          <w:pgMar w:top="1383" w:right="1213" w:bottom="1383" w:left="1213" w:header="851" w:footer="992" w:gutter="0"/>
          <w:cols w:space="720" w:num="1"/>
          <w:docGrid w:type="lines" w:linePitch="312" w:charSpace="0"/>
        </w:sectPr>
      </w:pPr>
      <w:r>
        <w:rPr>
          <w:rFonts w:hint="eastAsia" w:ascii="黑体" w:eastAsia="黑体"/>
          <w:sz w:val="32"/>
          <w:szCs w:val="32"/>
        </w:rPr>
        <w:t>十、附录</w:t>
      </w:r>
      <w:bookmarkEnd w:id="45"/>
    </w:p>
    <w:p>
      <w:pPr>
        <w:spacing w:line="620" w:lineRule="exact"/>
        <w:rPr>
          <w:rFonts w:ascii="黑体" w:eastAsia="黑体"/>
          <w:sz w:val="32"/>
          <w:szCs w:val="32"/>
        </w:rPr>
      </w:pPr>
      <w:r>
        <w:rPr>
          <w:rFonts w:hint="eastAsia" w:ascii="黑体" w:eastAsia="黑体"/>
          <w:sz w:val="32"/>
          <w:szCs w:val="32"/>
        </w:rPr>
        <w:t>附件1：</w:t>
      </w:r>
    </w:p>
    <w:p>
      <w:pPr>
        <w:jc w:val="center"/>
        <w:rPr>
          <w:rFonts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铜仁市中等职业学校专业人才培养方案</w:t>
      </w:r>
    </w:p>
    <w:p>
      <w:pPr>
        <w:jc w:val="center"/>
        <w:rPr>
          <w:rFonts w:ascii="方正小标宋简体" w:eastAsia="方正小标宋简体"/>
          <w:sz w:val="44"/>
          <w:szCs w:val="44"/>
        </w:rPr>
      </w:pPr>
    </w:p>
    <w:p>
      <w:pPr>
        <w:jc w:val="center"/>
      </w:pPr>
    </w:p>
    <w:p>
      <w:pPr>
        <w:jc w:val="center"/>
        <w:rPr>
          <w:rFonts w:ascii="方正小标宋简体" w:eastAsia="方正小标宋简体"/>
          <w:sz w:val="84"/>
          <w:szCs w:val="84"/>
        </w:rPr>
      </w:pPr>
      <w:r>
        <w:rPr>
          <w:rFonts w:hint="eastAsia" w:ascii="方正小标宋简体" w:eastAsia="方正小标宋简体"/>
          <w:sz w:val="84"/>
          <w:szCs w:val="84"/>
        </w:rPr>
        <w:t>审 批 表</w:t>
      </w:r>
    </w:p>
    <w:p>
      <w:pPr>
        <w:jc w:val="center"/>
      </w:pPr>
    </w:p>
    <w:p>
      <w:pPr>
        <w:jc w:val="center"/>
      </w:pPr>
    </w:p>
    <w:p>
      <w:pPr>
        <w:jc w:val="center"/>
      </w:pPr>
    </w:p>
    <w:p>
      <w:pPr>
        <w:jc w:val="center"/>
      </w:pPr>
    </w:p>
    <w:p>
      <w:pPr>
        <w:jc w:val="center"/>
      </w:pPr>
    </w:p>
    <w:p>
      <w:pPr>
        <w:jc w:val="center"/>
      </w:pPr>
    </w:p>
    <w:p>
      <w:pPr>
        <w:jc w:val="center"/>
      </w:pPr>
    </w:p>
    <w:p>
      <w:pPr>
        <w:spacing w:line="900" w:lineRule="exact"/>
        <w:ind w:firstLine="899" w:firstLineChars="281"/>
        <w:rPr>
          <w:rFonts w:eastAsia="楷体_GB2312"/>
          <w:sz w:val="32"/>
          <w:szCs w:val="32"/>
          <w:u w:val="single"/>
        </w:rPr>
      </w:pPr>
      <w:r>
        <w:rPr>
          <w:rFonts w:hint="eastAsia"/>
          <w:sz w:val="32"/>
          <w:szCs w:val="32"/>
        </w:rPr>
        <w:t>年    级</w:t>
      </w:r>
      <w:r>
        <w:rPr>
          <w:rFonts w:hint="eastAsia" w:ascii="楷体_GB2312" w:eastAsia="楷体_GB2312"/>
          <w:sz w:val="32"/>
          <w:szCs w:val="32"/>
          <w:u w:val="single"/>
        </w:rPr>
        <w:t xml:space="preserve">                2020级                    </w:t>
      </w:r>
    </w:p>
    <w:p>
      <w:pPr>
        <w:spacing w:line="900" w:lineRule="exact"/>
        <w:ind w:firstLine="899" w:firstLineChars="281"/>
        <w:rPr>
          <w:rFonts w:ascii="楷体_GB2312" w:eastAsia="楷体_GB2312"/>
          <w:sz w:val="32"/>
          <w:szCs w:val="32"/>
          <w:u w:val="single"/>
        </w:rPr>
      </w:pPr>
      <w:r>
        <w:rPr>
          <w:rFonts w:hint="eastAsia"/>
          <w:sz w:val="32"/>
          <w:szCs w:val="32"/>
        </w:rPr>
        <w:t>专业名称</w:t>
      </w:r>
      <w:r>
        <w:rPr>
          <w:rFonts w:hint="eastAsia" w:ascii="楷体_GB2312" w:eastAsia="楷体_GB2312"/>
          <w:sz w:val="32"/>
          <w:szCs w:val="32"/>
          <w:u w:val="single"/>
        </w:rPr>
        <w:t xml:space="preserve">             休闲农业生产与经营                          </w:t>
      </w:r>
    </w:p>
    <w:p>
      <w:pPr>
        <w:spacing w:line="900" w:lineRule="exact"/>
        <w:ind w:firstLine="899" w:firstLineChars="281"/>
        <w:rPr>
          <w:sz w:val="32"/>
          <w:szCs w:val="32"/>
          <w:u w:val="single"/>
        </w:rPr>
      </w:pPr>
      <w:r>
        <w:rPr>
          <w:rFonts w:hint="eastAsia"/>
          <w:sz w:val="32"/>
          <w:szCs w:val="32"/>
        </w:rPr>
        <w:t>专业代码</w:t>
      </w:r>
      <w:r>
        <w:rPr>
          <w:rFonts w:hint="eastAsia" w:ascii="楷体_GB2312" w:eastAsia="楷体_GB2312"/>
          <w:sz w:val="32"/>
          <w:szCs w:val="32"/>
          <w:u w:val="single"/>
        </w:rPr>
        <w:t xml:space="preserve">                </w:t>
      </w:r>
      <w:r>
        <w:rPr>
          <w:rFonts w:hint="eastAsia" w:ascii="仿宋" w:hAnsi="仿宋" w:eastAsia="仿宋" w:cs="宋体"/>
          <w:b/>
          <w:bCs/>
          <w:sz w:val="36"/>
          <w:szCs w:val="36"/>
          <w:u w:val="single"/>
        </w:rPr>
        <w:t>010300</w:t>
      </w:r>
      <w:r>
        <w:rPr>
          <w:rFonts w:hint="eastAsia" w:ascii="楷体_GB2312" w:eastAsia="楷体_GB2312"/>
          <w:sz w:val="32"/>
          <w:szCs w:val="32"/>
          <w:u w:val="single"/>
        </w:rPr>
        <w:t xml:space="preserve">                     </w:t>
      </w:r>
    </w:p>
    <w:p>
      <w:pPr>
        <w:spacing w:line="900" w:lineRule="exact"/>
        <w:ind w:left="2878" w:leftChars="456" w:hanging="1920" w:hangingChars="600"/>
        <w:rPr>
          <w:rFonts w:ascii="楷体_GB2312" w:eastAsia="楷体_GB2312"/>
          <w:sz w:val="32"/>
          <w:szCs w:val="32"/>
          <w:u w:val="single"/>
        </w:rPr>
      </w:pPr>
      <w:r>
        <w:rPr>
          <w:rFonts w:hint="eastAsia"/>
          <w:sz w:val="32"/>
          <w:szCs w:val="32"/>
        </w:rPr>
        <w:t xml:space="preserve">专业化方向 </w:t>
      </w:r>
      <w:r>
        <w:rPr>
          <w:rFonts w:hint="eastAsia" w:ascii="楷体_GB2312" w:eastAsia="楷体_GB2312"/>
          <w:sz w:val="32"/>
          <w:szCs w:val="32"/>
          <w:u w:val="single"/>
        </w:rPr>
        <w:t xml:space="preserve">观赏植物栽培、农业观赏区域规划与建设、观光农业园区导游方向                      </w:t>
      </w:r>
    </w:p>
    <w:p>
      <w:pPr>
        <w:spacing w:line="900" w:lineRule="exact"/>
        <w:ind w:firstLine="899" w:firstLineChars="281"/>
        <w:rPr>
          <w:rFonts w:ascii="楷体_GB2312" w:eastAsia="楷体_GB2312"/>
          <w:sz w:val="32"/>
          <w:szCs w:val="32"/>
          <w:u w:val="single"/>
        </w:rPr>
      </w:pPr>
      <w:r>
        <w:rPr>
          <w:rFonts w:hint="eastAsia"/>
          <w:sz w:val="32"/>
          <w:szCs w:val="32"/>
        </w:rPr>
        <w:t>招生对象</w:t>
      </w:r>
      <w:r>
        <w:rPr>
          <w:rFonts w:hint="eastAsia" w:ascii="楷体_GB2312" w:eastAsia="楷体_GB2312"/>
          <w:sz w:val="32"/>
          <w:szCs w:val="32"/>
          <w:u w:val="single"/>
        </w:rPr>
        <w:t xml:space="preserve">      初中毕业生或具有同等学力者           </w:t>
      </w:r>
    </w:p>
    <w:p>
      <w:pPr>
        <w:jc w:val="center"/>
        <w:rPr>
          <w:sz w:val="32"/>
          <w:szCs w:val="32"/>
        </w:rPr>
      </w:pPr>
    </w:p>
    <w:p>
      <w:pPr>
        <w:jc w:val="center"/>
        <w:rPr>
          <w:sz w:val="32"/>
          <w:szCs w:val="32"/>
        </w:rPr>
      </w:pPr>
    </w:p>
    <w:p>
      <w:pPr>
        <w:jc w:val="center"/>
        <w:rPr>
          <w:sz w:val="32"/>
          <w:szCs w:val="32"/>
        </w:rPr>
      </w:pPr>
      <w:r>
        <w:rPr>
          <w:rFonts w:hint="eastAsia"/>
          <w:sz w:val="32"/>
          <w:szCs w:val="32"/>
        </w:rPr>
        <w:t>填报日期：2020年 3月 24 日</w:t>
      </w:r>
    </w:p>
    <w:p>
      <w:pPr>
        <w:spacing w:line="660" w:lineRule="exact"/>
        <w:jc w:val="center"/>
        <w:rPr>
          <w:sz w:val="32"/>
          <w:szCs w:val="32"/>
        </w:rPr>
      </w:pPr>
    </w:p>
    <w:p>
      <w:pPr>
        <w:spacing w:line="660" w:lineRule="exact"/>
        <w:jc w:val="center"/>
        <w:rPr>
          <w:rFonts w:ascii="仿宋_GB2312" w:eastAsia="仿宋_GB2312"/>
          <w:sz w:val="32"/>
          <w:szCs w:val="32"/>
        </w:rPr>
      </w:pP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说  明</w:t>
      </w: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66"/>
        <w:gridCol w:w="350"/>
        <w:gridCol w:w="731"/>
        <w:gridCol w:w="1765"/>
        <w:gridCol w:w="2123"/>
        <w:gridCol w:w="1416"/>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641" w:type="dxa"/>
            <w:vMerge w:val="restart"/>
            <w:vAlign w:val="center"/>
          </w:tcPr>
          <w:p>
            <w:pPr>
              <w:jc w:val="center"/>
              <w:rPr>
                <w:rFonts w:ascii="仿宋_GB2312" w:eastAsia="仿宋_GB2312"/>
                <w:szCs w:val="21"/>
              </w:rPr>
            </w:pPr>
            <w:r>
              <w:rPr>
                <w:rFonts w:hint="eastAsia" w:ascii="仿宋_GB2312" w:eastAsia="仿宋_GB2312"/>
                <w:szCs w:val="21"/>
              </w:rPr>
              <w:t>制</w:t>
            </w:r>
          </w:p>
          <w:p>
            <w:pPr>
              <w:jc w:val="center"/>
              <w:rPr>
                <w:rFonts w:ascii="仿宋_GB2312" w:eastAsia="仿宋_GB2312"/>
                <w:szCs w:val="21"/>
              </w:rPr>
            </w:pPr>
            <w:r>
              <w:rPr>
                <w:rFonts w:hint="eastAsia" w:ascii="仿宋_GB2312" w:eastAsia="仿宋_GB2312"/>
                <w:szCs w:val="21"/>
              </w:rPr>
              <w:t>定</w:t>
            </w:r>
          </w:p>
          <w:p>
            <w:pPr>
              <w:jc w:val="center"/>
              <w:rPr>
                <w:rFonts w:ascii="仿宋_GB2312" w:eastAsia="仿宋_GB2312"/>
                <w:szCs w:val="21"/>
              </w:rPr>
            </w:pPr>
            <w:r>
              <w:rPr>
                <w:rFonts w:hint="eastAsia" w:ascii="仿宋_GB2312" w:eastAsia="仿宋_GB2312"/>
                <w:szCs w:val="21"/>
              </w:rPr>
              <w:t>依</w:t>
            </w:r>
          </w:p>
          <w:p>
            <w:pPr>
              <w:jc w:val="center"/>
              <w:rPr>
                <w:rFonts w:ascii="仿宋_GB2312" w:eastAsia="仿宋_GB2312"/>
                <w:szCs w:val="21"/>
              </w:rPr>
            </w:pPr>
            <w:r>
              <w:rPr>
                <w:rFonts w:hint="eastAsia" w:ascii="仿宋_GB2312" w:eastAsia="仿宋_GB2312"/>
                <w:szCs w:val="21"/>
              </w:rPr>
              <w:t>据</w:t>
            </w:r>
          </w:p>
        </w:tc>
        <w:tc>
          <w:tcPr>
            <w:tcW w:w="1247" w:type="dxa"/>
            <w:gridSpan w:val="3"/>
            <w:vAlign w:val="center"/>
          </w:tcPr>
          <w:p>
            <w:pPr>
              <w:jc w:val="center"/>
              <w:rPr>
                <w:rFonts w:ascii="仿宋_GB2312" w:eastAsia="仿宋_GB2312"/>
                <w:szCs w:val="21"/>
              </w:rPr>
            </w:pPr>
            <w:r>
              <w:rPr>
                <w:rFonts w:hint="eastAsia" w:ascii="仿宋_GB2312" w:eastAsia="仿宋_GB2312"/>
                <w:szCs w:val="21"/>
              </w:rPr>
              <w:t>执行国家、省、市文件</w:t>
            </w:r>
          </w:p>
        </w:tc>
        <w:tc>
          <w:tcPr>
            <w:tcW w:w="6634" w:type="dxa"/>
            <w:gridSpan w:val="4"/>
            <w:vAlign w:val="center"/>
          </w:tcPr>
          <w:p>
            <w:pPr>
              <w:widowControl/>
              <w:numPr>
                <w:ilvl w:val="0"/>
                <w:numId w:val="2"/>
              </w:numPr>
              <w:spacing w:before="450"/>
              <w:jc w:val="left"/>
              <w:outlineLvl w:val="0"/>
              <w:rPr>
                <w:rFonts w:ascii="仿宋_GB2312" w:eastAsia="仿宋_GB2312"/>
                <w:b/>
                <w:szCs w:val="21"/>
              </w:rPr>
            </w:pPr>
            <w:bookmarkStart w:id="46" w:name="_Toc35933938"/>
            <w:bookmarkStart w:id="47" w:name="_Toc12637"/>
            <w:r>
              <w:rPr>
                <w:rFonts w:hint="eastAsia" w:ascii="仿宋_GB2312" w:eastAsia="仿宋_GB2312"/>
                <w:szCs w:val="21"/>
              </w:rPr>
              <w:t>教育部关于职业院校专业人才培养方案制订与实施工作的指导意见</w:t>
            </w:r>
            <w:r>
              <w:rPr>
                <w:rFonts w:hint="eastAsia" w:ascii="仿宋_GB2312" w:eastAsia="仿宋_GB2312"/>
                <w:b/>
                <w:szCs w:val="21"/>
              </w:rPr>
              <w:t>教职成〔2019〕13号；</w:t>
            </w:r>
            <w:bookmarkEnd w:id="46"/>
            <w:bookmarkEnd w:id="47"/>
          </w:p>
          <w:p>
            <w:pPr>
              <w:numPr>
                <w:ilvl w:val="0"/>
                <w:numId w:val="2"/>
              </w:numPr>
              <w:snapToGrid w:val="0"/>
              <w:spacing w:line="360" w:lineRule="auto"/>
              <w:jc w:val="left"/>
              <w:rPr>
                <w:rFonts w:ascii="仿宋_GB2312" w:eastAsia="仿宋_GB2312"/>
                <w:szCs w:val="21"/>
              </w:rPr>
            </w:pPr>
            <w:r>
              <w:rPr>
                <w:rFonts w:hint="eastAsia" w:ascii="仿宋_GB2312" w:eastAsia="仿宋_GB2312"/>
                <w:szCs w:val="21"/>
              </w:rPr>
              <w:t>关于组织做好职业院校专业人才培养方案制订与实施工作的通知</w:t>
            </w:r>
          </w:p>
          <w:p>
            <w:pPr>
              <w:snapToGrid w:val="0"/>
              <w:spacing w:line="360" w:lineRule="auto"/>
              <w:jc w:val="left"/>
              <w:rPr>
                <w:rFonts w:ascii="仿宋_GB2312" w:eastAsia="仿宋_GB2312"/>
                <w:b/>
                <w:szCs w:val="21"/>
              </w:rPr>
            </w:pPr>
            <w:r>
              <w:rPr>
                <w:rFonts w:hint="eastAsia" w:ascii="仿宋_GB2312" w:eastAsia="仿宋_GB2312"/>
                <w:b/>
                <w:szCs w:val="21"/>
              </w:rPr>
              <w:t>职成司函〔2019〕61号；</w:t>
            </w:r>
          </w:p>
          <w:p>
            <w:pPr>
              <w:widowControl/>
              <w:shd w:val="clear" w:color="auto" w:fill="FFFFFF"/>
              <w:jc w:val="left"/>
              <w:outlineLvl w:val="2"/>
              <w:rPr>
                <w:rFonts w:ascii="仿宋_GB2312" w:eastAsia="仿宋_GB2312"/>
                <w:szCs w:val="21"/>
              </w:rPr>
            </w:pPr>
            <w:r>
              <w:rPr>
                <w:rFonts w:hint="eastAsia" w:ascii="仿宋_GB2312" w:eastAsia="仿宋_GB2312"/>
                <w:szCs w:val="21"/>
              </w:rPr>
              <w:t>3.教育部办公厅关于印发《中等职业学校公共基础课程方案》的通知</w:t>
            </w:r>
          </w:p>
          <w:p>
            <w:pPr>
              <w:snapToGrid w:val="0"/>
              <w:spacing w:line="360" w:lineRule="auto"/>
              <w:jc w:val="left"/>
              <w:rPr>
                <w:rFonts w:ascii="仿宋_GB2312" w:eastAsia="仿宋_GB2312"/>
                <w:b/>
                <w:szCs w:val="21"/>
              </w:rPr>
            </w:pPr>
            <w:r>
              <w:rPr>
                <w:rFonts w:hint="eastAsia" w:ascii="仿宋_GB2312" w:eastAsia="仿宋_GB2312"/>
                <w:b/>
                <w:szCs w:val="21"/>
              </w:rPr>
              <w:t>教职成厅〔2019〕6号；</w:t>
            </w:r>
          </w:p>
          <w:p>
            <w:pPr>
              <w:snapToGrid w:val="0"/>
              <w:spacing w:line="360" w:lineRule="auto"/>
              <w:jc w:val="left"/>
              <w:rPr>
                <w:rFonts w:ascii="仿宋_GB2312" w:eastAsia="仿宋_GB2312"/>
                <w:b/>
                <w:szCs w:val="21"/>
              </w:rPr>
            </w:pPr>
            <w:r>
              <w:rPr>
                <w:rFonts w:ascii="仿宋_GB2312" w:eastAsia="仿宋_GB2312"/>
                <w:szCs w:val="21"/>
              </w:rPr>
              <w:t>4</w:t>
            </w:r>
            <w:r>
              <w:rPr>
                <w:rFonts w:hint="eastAsia" w:ascii="仿宋_GB2312" w:eastAsia="仿宋_GB2312"/>
                <w:szCs w:val="21"/>
              </w:rPr>
              <w:t>.省教育厅</w:t>
            </w:r>
            <w:r>
              <w:rPr>
                <w:rFonts w:ascii="仿宋_GB2312" w:eastAsia="仿宋_GB2312"/>
                <w:szCs w:val="21"/>
              </w:rPr>
              <w:t>办公室关于职业院校专业人才培养方案制定与实施工作的</w:t>
            </w:r>
            <w:r>
              <w:rPr>
                <w:rFonts w:hint="eastAsia" w:ascii="仿宋_GB2312" w:eastAsia="仿宋_GB2312"/>
                <w:szCs w:val="21"/>
              </w:rPr>
              <w:t>通知</w:t>
            </w:r>
            <w:r>
              <w:rPr>
                <w:rFonts w:hint="eastAsia" w:ascii="仿宋_GB2312" w:eastAsia="仿宋_GB2312"/>
                <w:b/>
                <w:szCs w:val="21"/>
              </w:rPr>
              <w:t>黔教办职成涵〔2019〕</w:t>
            </w:r>
            <w:r>
              <w:rPr>
                <w:rFonts w:ascii="仿宋_GB2312" w:eastAsia="仿宋_GB2312"/>
                <w:b/>
                <w:szCs w:val="21"/>
              </w:rPr>
              <w:t>307</w:t>
            </w:r>
            <w:r>
              <w:rPr>
                <w:rFonts w:hint="eastAsia" w:ascii="仿宋_GB2312" w:eastAsia="仿宋_GB2312"/>
                <w:b/>
                <w:szCs w:val="21"/>
              </w:rPr>
              <w:t>号；</w:t>
            </w:r>
          </w:p>
          <w:p>
            <w:pPr>
              <w:snapToGrid w:val="0"/>
              <w:spacing w:line="360" w:lineRule="auto"/>
              <w:jc w:val="left"/>
              <w:rPr>
                <w:rFonts w:ascii="仿宋_GB2312" w:eastAsia="仿宋_GB2312"/>
                <w:szCs w:val="21"/>
              </w:rPr>
            </w:pPr>
            <w:r>
              <w:rPr>
                <w:rFonts w:ascii="仿宋_GB2312" w:eastAsia="仿宋_GB2312"/>
                <w:szCs w:val="21"/>
              </w:rPr>
              <w:t>5</w:t>
            </w:r>
            <w:r>
              <w:rPr>
                <w:rFonts w:hint="eastAsia" w:ascii="仿宋_GB2312" w:eastAsia="仿宋_GB2312"/>
                <w:szCs w:val="21"/>
              </w:rPr>
              <w:t>.市教育局</w:t>
            </w:r>
            <w:r>
              <w:rPr>
                <w:rFonts w:ascii="仿宋_GB2312" w:eastAsia="仿宋_GB2312"/>
                <w:szCs w:val="21"/>
              </w:rPr>
              <w:t>关于做好中等职业学校专业人才培养方案制定与</w:t>
            </w:r>
            <w:r>
              <w:rPr>
                <w:rFonts w:hint="eastAsia" w:ascii="仿宋_GB2312" w:eastAsia="仿宋_GB2312"/>
                <w:szCs w:val="21"/>
              </w:rPr>
              <w:t>实施</w:t>
            </w:r>
            <w:r>
              <w:rPr>
                <w:rFonts w:ascii="仿宋_GB2312" w:eastAsia="仿宋_GB2312"/>
                <w:szCs w:val="21"/>
              </w:rPr>
              <w:t>工作的通知</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641" w:type="dxa"/>
            <w:vMerge w:val="continue"/>
            <w:vAlign w:val="center"/>
          </w:tcPr>
          <w:p>
            <w:pPr>
              <w:jc w:val="center"/>
              <w:rPr>
                <w:rFonts w:ascii="仿宋_GB2312" w:eastAsia="仿宋_GB2312"/>
                <w:szCs w:val="21"/>
              </w:rPr>
            </w:pPr>
          </w:p>
        </w:tc>
        <w:tc>
          <w:tcPr>
            <w:tcW w:w="1247" w:type="dxa"/>
            <w:gridSpan w:val="3"/>
            <w:vAlign w:val="center"/>
          </w:tcPr>
          <w:p>
            <w:pPr>
              <w:jc w:val="center"/>
              <w:rPr>
                <w:rFonts w:ascii="仿宋_GB2312" w:eastAsia="仿宋_GB2312"/>
                <w:szCs w:val="21"/>
              </w:rPr>
            </w:pPr>
            <w:r>
              <w:rPr>
                <w:rFonts w:hint="eastAsia" w:ascii="仿宋_GB2312" w:eastAsia="仿宋_GB2312"/>
                <w:szCs w:val="21"/>
              </w:rPr>
              <w:t>参照的指</w:t>
            </w:r>
          </w:p>
          <w:p>
            <w:pPr>
              <w:jc w:val="center"/>
              <w:rPr>
                <w:rFonts w:ascii="仿宋_GB2312" w:eastAsia="仿宋_GB2312"/>
                <w:szCs w:val="21"/>
              </w:rPr>
            </w:pPr>
            <w:r>
              <w:rPr>
                <w:rFonts w:hint="eastAsia" w:ascii="仿宋_GB2312" w:eastAsia="仿宋_GB2312"/>
                <w:szCs w:val="21"/>
              </w:rPr>
              <w:t>导性人才</w:t>
            </w:r>
          </w:p>
          <w:p>
            <w:pPr>
              <w:jc w:val="center"/>
              <w:rPr>
                <w:rFonts w:ascii="仿宋_GB2312" w:eastAsia="仿宋_GB2312"/>
                <w:szCs w:val="21"/>
              </w:rPr>
            </w:pPr>
            <w:r>
              <w:rPr>
                <w:rFonts w:hint="eastAsia" w:ascii="仿宋_GB2312" w:eastAsia="仿宋_GB2312"/>
                <w:szCs w:val="21"/>
              </w:rPr>
              <w:t>培养方案</w:t>
            </w:r>
          </w:p>
        </w:tc>
        <w:tc>
          <w:tcPr>
            <w:tcW w:w="6634" w:type="dxa"/>
            <w:gridSpan w:val="4"/>
            <w:vAlign w:val="center"/>
          </w:tcPr>
          <w:p>
            <w:pPr>
              <w:jc w:val="left"/>
              <w:rPr>
                <w:rFonts w:ascii="仿宋_GB2312" w:eastAsia="仿宋_GB2312"/>
                <w:szCs w:val="21"/>
                <w:lang w:val="zh-CN"/>
              </w:rPr>
            </w:pPr>
            <w:r>
              <w:rPr>
                <w:rFonts w:hint="eastAsia" w:ascii="仿宋_GB2312" w:eastAsia="仿宋_GB2312"/>
                <w:szCs w:val="21"/>
                <w:lang w:val="zh-CN"/>
              </w:rPr>
              <w:t>教育部职业教育国家教学标准体系《中等职业休闲农业生产与经营专业目录及专业简介》</w:t>
            </w:r>
          </w:p>
          <w:p>
            <w:pPr>
              <w:jc w:val="left"/>
              <w:rPr>
                <w:rFonts w:ascii="仿宋_GB2312" w:eastAsia="仿宋_GB2312"/>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jc w:val="center"/>
        </w:trPr>
        <w:tc>
          <w:tcPr>
            <w:tcW w:w="641" w:type="dxa"/>
            <w:vMerge w:val="continue"/>
            <w:vAlign w:val="center"/>
          </w:tcPr>
          <w:p>
            <w:pPr>
              <w:jc w:val="center"/>
              <w:rPr>
                <w:rFonts w:ascii="仿宋_GB2312" w:eastAsia="仿宋_GB2312"/>
                <w:szCs w:val="21"/>
              </w:rPr>
            </w:pPr>
          </w:p>
        </w:tc>
        <w:tc>
          <w:tcPr>
            <w:tcW w:w="1247" w:type="dxa"/>
            <w:gridSpan w:val="3"/>
            <w:vAlign w:val="center"/>
          </w:tcPr>
          <w:p>
            <w:pPr>
              <w:jc w:val="center"/>
              <w:rPr>
                <w:rFonts w:ascii="仿宋_GB2312" w:eastAsia="仿宋_GB2312"/>
                <w:szCs w:val="21"/>
              </w:rPr>
            </w:pPr>
            <w:r>
              <w:rPr>
                <w:rFonts w:hint="eastAsia" w:ascii="仿宋_GB2312" w:eastAsia="仿宋_GB2312"/>
                <w:szCs w:val="21"/>
              </w:rPr>
              <w:t>行业专家</w:t>
            </w:r>
          </w:p>
          <w:p>
            <w:pPr>
              <w:jc w:val="center"/>
              <w:rPr>
                <w:rFonts w:ascii="仿宋_GB2312" w:eastAsia="仿宋_GB2312"/>
                <w:szCs w:val="21"/>
              </w:rPr>
            </w:pPr>
            <w:r>
              <w:rPr>
                <w:rFonts w:hint="eastAsia" w:ascii="仿宋_GB2312" w:eastAsia="仿宋_GB2312"/>
                <w:szCs w:val="21"/>
              </w:rPr>
              <w:t>意    见</w:t>
            </w:r>
          </w:p>
        </w:tc>
        <w:tc>
          <w:tcPr>
            <w:tcW w:w="6634" w:type="dxa"/>
            <w:gridSpan w:val="4"/>
            <w:vAlign w:val="center"/>
          </w:tcPr>
          <w:p>
            <w:pPr>
              <w:ind w:firstLine="2520" w:firstLineChars="1200"/>
              <w:jc w:val="lef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641" w:type="dxa"/>
            <w:vMerge w:val="continue"/>
            <w:vAlign w:val="center"/>
          </w:tcPr>
          <w:p>
            <w:pPr>
              <w:jc w:val="center"/>
              <w:rPr>
                <w:rFonts w:ascii="仿宋_GB2312" w:eastAsia="仿宋_GB2312"/>
                <w:szCs w:val="21"/>
              </w:rPr>
            </w:pPr>
          </w:p>
        </w:tc>
        <w:tc>
          <w:tcPr>
            <w:tcW w:w="1247" w:type="dxa"/>
            <w:gridSpan w:val="3"/>
            <w:vAlign w:val="center"/>
          </w:tcPr>
          <w:p>
            <w:pPr>
              <w:jc w:val="center"/>
              <w:rPr>
                <w:rFonts w:ascii="仿宋_GB2312" w:eastAsia="仿宋_GB2312"/>
                <w:szCs w:val="21"/>
              </w:rPr>
            </w:pPr>
            <w:r>
              <w:rPr>
                <w:rFonts w:hint="eastAsia" w:ascii="仿宋_GB2312" w:eastAsia="仿宋_GB2312"/>
                <w:szCs w:val="21"/>
              </w:rPr>
              <w:t>其    它</w:t>
            </w:r>
          </w:p>
        </w:tc>
        <w:tc>
          <w:tcPr>
            <w:tcW w:w="6634" w:type="dxa"/>
            <w:gridSpan w:val="4"/>
            <w:vAlign w:val="center"/>
          </w:tcPr>
          <w:p>
            <w:pPr>
              <w:jc w:val="left"/>
              <w:rPr>
                <w:rFonts w:ascii="仿宋_GB2312" w:eastAsia="仿宋_GB2312"/>
                <w:szCs w:val="21"/>
              </w:rPr>
            </w:pPr>
            <w:r>
              <w:rPr>
                <w:rFonts w:hint="eastAsia" w:ascii="仿宋_GB2312" w:eastAsia="仿宋_GB2312"/>
                <w:szCs w:val="21"/>
              </w:rPr>
              <w:t>参考文献</w:t>
            </w:r>
            <w:r>
              <w:rPr>
                <w:rFonts w:ascii="仿宋_GB2312" w:eastAsia="仿宋_GB2312"/>
                <w:szCs w:val="21"/>
              </w:rPr>
              <w:t>：</w:t>
            </w:r>
          </w:p>
          <w:p>
            <w:pPr>
              <w:jc w:val="left"/>
              <w:rPr>
                <w:rFonts w:ascii="仿宋_GB2312" w:eastAsia="仿宋_GB2312"/>
                <w:szCs w:val="21"/>
              </w:rPr>
            </w:pPr>
            <w:r>
              <w:rPr>
                <w:rFonts w:hint="eastAsia" w:ascii="仿宋_GB2312" w:eastAsia="仿宋_GB2312"/>
                <w:szCs w:val="21"/>
                <w:lang w:val="zh-CN"/>
              </w:rPr>
              <w:t>1.《职业学校实习管理规定》教职成【2016】3号；</w:t>
            </w:r>
            <w:r>
              <w:rPr>
                <w:rFonts w:hint="eastAsia" w:ascii="仿宋_GB2312" w:eastAsia="仿宋_GB2312"/>
                <w:szCs w:val="21"/>
              </w:rPr>
              <w:t xml:space="preserve"> </w:t>
            </w:r>
          </w:p>
          <w:p>
            <w:pPr>
              <w:jc w:val="left"/>
              <w:rPr>
                <w:rFonts w:ascii="仿宋_GB2312" w:eastAsia="仿宋_GB2312"/>
                <w:szCs w:val="21"/>
                <w:lang w:val="zh-CN"/>
              </w:rPr>
            </w:pPr>
            <w:r>
              <w:rPr>
                <w:rFonts w:ascii="仿宋_GB2312" w:eastAsia="仿宋_GB2312"/>
                <w:szCs w:val="21"/>
              </w:rPr>
              <w:t>2.</w:t>
            </w:r>
            <w:r>
              <w:rPr>
                <w:rFonts w:hint="eastAsia" w:ascii="仿宋_GB2312" w:eastAsia="仿宋_GB2312"/>
                <w:szCs w:val="21"/>
                <w:lang w:val="zh-CN"/>
              </w:rPr>
              <w:t>《中等职业学校专业目录（2010年修订）》；</w:t>
            </w:r>
          </w:p>
          <w:p>
            <w:pPr>
              <w:jc w:val="left"/>
              <w:rPr>
                <w:rFonts w:ascii="仿宋_GB2312" w:eastAsia="仿宋_GB2312"/>
                <w:szCs w:val="21"/>
                <w:lang w:val="zh-CN"/>
              </w:rPr>
            </w:pPr>
            <w:r>
              <w:rPr>
                <w:rFonts w:ascii="仿宋_GB2312" w:eastAsia="仿宋_GB2312"/>
                <w:szCs w:val="21"/>
              </w:rPr>
              <w:t>3.</w:t>
            </w:r>
            <w:r>
              <w:rPr>
                <w:rFonts w:hint="eastAsia" w:ascii="仿宋_GB2312" w:eastAsia="仿宋_GB2312"/>
                <w:szCs w:val="21"/>
                <w:lang w:val="zh-CN"/>
              </w:rPr>
              <w:t>教育部关于中等职业学校德育课程设置与教学安排的意见》（教职成【2008】6号）；</w:t>
            </w:r>
          </w:p>
          <w:p>
            <w:pPr>
              <w:rPr>
                <w:rFonts w:ascii="仿宋_GB2312" w:eastAsia="仿宋_GB2312"/>
                <w:szCs w:val="21"/>
                <w:lang w:val="zh-CN"/>
              </w:rPr>
            </w:pPr>
            <w:r>
              <w:rPr>
                <w:rFonts w:ascii="仿宋_GB2312" w:eastAsia="仿宋_GB2312"/>
                <w:szCs w:val="21"/>
              </w:rPr>
              <w:t>4.</w:t>
            </w:r>
            <w:r>
              <w:rPr>
                <w:rFonts w:hint="eastAsia" w:ascii="仿宋_GB2312" w:eastAsia="仿宋_GB2312"/>
                <w:szCs w:val="21"/>
                <w:lang w:val="zh-CN"/>
              </w:rPr>
              <w:t>《现代职业教育体系建设规划》教发【2014】6号；</w:t>
            </w:r>
          </w:p>
          <w:p>
            <w:pPr>
              <w:rPr>
                <w:rFonts w:ascii="仿宋_GB2312" w:eastAsia="仿宋_GB2312"/>
                <w:szCs w:val="21"/>
              </w:rPr>
            </w:pPr>
            <w:r>
              <w:rPr>
                <w:rFonts w:ascii="仿宋_GB2312" w:eastAsia="仿宋_GB2312"/>
                <w:szCs w:val="21"/>
              </w:rPr>
              <w:t>5.</w:t>
            </w:r>
            <w:r>
              <w:rPr>
                <w:rFonts w:hint="eastAsia" w:ascii="仿宋_GB2312" w:eastAsia="仿宋_GB2312"/>
                <w:szCs w:val="21"/>
              </w:rPr>
              <w:t xml:space="preserve">教育部关于印发《中等职业学校教师专业标准（试行）》的通知 </w:t>
            </w:r>
          </w:p>
          <w:p>
            <w:pPr>
              <w:rPr>
                <w:rFonts w:ascii="仿宋_GB2312" w:eastAsia="仿宋_GB2312"/>
                <w:szCs w:val="21"/>
              </w:rPr>
            </w:pPr>
            <w:r>
              <w:rPr>
                <w:rFonts w:hint="eastAsia" w:ascii="仿宋_GB2312" w:eastAsia="仿宋_GB2312"/>
                <w:szCs w:val="21"/>
              </w:rPr>
              <w:t>教师〔2013〕12 号；</w:t>
            </w:r>
          </w:p>
          <w:p>
            <w:pPr>
              <w:rPr>
                <w:rFonts w:ascii="仿宋_GB2312" w:eastAsia="仿宋_GB2312"/>
                <w:szCs w:val="21"/>
              </w:rPr>
            </w:pPr>
            <w:r>
              <w:rPr>
                <w:rFonts w:hint="eastAsia" w:ascii="仿宋_GB2312" w:eastAsia="仿宋_GB2312"/>
                <w:szCs w:val="21"/>
              </w:rPr>
              <w:t>6.国民</w:t>
            </w:r>
            <w:r>
              <w:rPr>
                <w:rFonts w:ascii="仿宋_GB2312" w:eastAsia="仿宋_GB2312"/>
                <w:szCs w:val="21"/>
              </w:rPr>
              <w:t>经济</w:t>
            </w:r>
            <w:r>
              <w:rPr>
                <w:rFonts w:hint="eastAsia" w:ascii="仿宋_GB2312" w:eastAsia="仿宋_GB2312"/>
                <w:szCs w:val="21"/>
              </w:rPr>
              <w:t>行业</w:t>
            </w:r>
            <w:r>
              <w:rPr>
                <w:rFonts w:ascii="仿宋_GB2312" w:eastAsia="仿宋_GB2312"/>
                <w:szCs w:val="21"/>
              </w:rPr>
              <w:t>分类（</w:t>
            </w:r>
            <w:r>
              <w:rPr>
                <w:rFonts w:hint="eastAsia" w:ascii="仿宋_GB2312" w:eastAsia="仿宋_GB2312"/>
                <w:szCs w:val="21"/>
              </w:rPr>
              <w:t>GBT4754</w:t>
            </w:r>
            <w:r>
              <w:rPr>
                <w:rFonts w:ascii="仿宋_GB2312" w:eastAsia="仿宋_GB2312"/>
                <w:szCs w:val="21"/>
              </w:rPr>
              <w:t>-2017）</w:t>
            </w:r>
            <w:r>
              <w:rPr>
                <w:rFonts w:hint="eastAsia" w:ascii="仿宋_GB2312" w:eastAsia="仿宋_GB2312"/>
                <w:szCs w:val="21"/>
              </w:rPr>
              <w:t>；</w:t>
            </w:r>
          </w:p>
          <w:p>
            <w:pPr>
              <w:jc w:val="left"/>
              <w:rPr>
                <w:rFonts w:ascii="仿宋_GB2312" w:eastAsia="仿宋_GB2312"/>
                <w:szCs w:val="21"/>
              </w:rPr>
            </w:pPr>
            <w:r>
              <w:rPr>
                <w:rFonts w:hint="eastAsia" w:ascii="仿宋_GB2312" w:eastAsia="仿宋_GB2312"/>
                <w:szCs w:val="21"/>
              </w:rPr>
              <w:t>7.国家</w:t>
            </w:r>
            <w:r>
              <w:rPr>
                <w:rFonts w:ascii="仿宋_GB2312" w:eastAsia="仿宋_GB2312"/>
                <w:szCs w:val="21"/>
              </w:rPr>
              <w:t>职业分类大典</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888" w:type="dxa"/>
            <w:gridSpan w:val="4"/>
            <w:vAlign w:val="center"/>
          </w:tcPr>
          <w:p>
            <w:pPr>
              <w:jc w:val="center"/>
              <w:rPr>
                <w:rFonts w:ascii="仿宋_GB2312" w:eastAsia="仿宋_GB2312"/>
                <w:szCs w:val="21"/>
              </w:rPr>
            </w:pPr>
            <w:r>
              <w:rPr>
                <w:rFonts w:hint="eastAsia" w:ascii="仿宋_GB2312" w:eastAsia="仿宋_GB2312"/>
                <w:szCs w:val="21"/>
              </w:rPr>
              <w:t>培养目标</w:t>
            </w:r>
          </w:p>
        </w:tc>
        <w:tc>
          <w:tcPr>
            <w:tcW w:w="6634" w:type="dxa"/>
            <w:gridSpan w:val="4"/>
            <w:vAlign w:val="center"/>
          </w:tcPr>
          <w:p>
            <w:pPr>
              <w:rPr>
                <w:rFonts w:ascii="仿宋_GB2312" w:eastAsia="仿宋_GB2312"/>
                <w:szCs w:val="21"/>
                <w:lang w:val="zh-CN"/>
              </w:rPr>
            </w:pPr>
            <w:r>
              <w:rPr>
                <w:rFonts w:hint="eastAsia" w:ascii="仿宋_GB2312" w:eastAsia="仿宋_GB2312"/>
                <w:szCs w:val="21"/>
                <w:lang w:val="zh-CN"/>
              </w:rPr>
              <w:t>　　</w:t>
            </w:r>
          </w:p>
          <w:p>
            <w:pPr>
              <w:rPr>
                <w:rFonts w:ascii="仿宋_GB2312" w:eastAsia="仿宋_GB2312"/>
                <w:szCs w:val="21"/>
                <w:lang w:val="zh-CN"/>
              </w:rPr>
            </w:pPr>
            <w:r>
              <w:rPr>
                <w:rFonts w:hint="eastAsia" w:ascii="仿宋_GB2312" w:eastAsia="仿宋_GB2312"/>
                <w:szCs w:val="21"/>
                <w:lang w:val="zh-CN"/>
              </w:rPr>
              <w:t>本专业坚持党的教育方针，坚持立德树人，面向农业生态园、植物园、农业观光园、休闲农业园区等单位， 培养能够从事观赏植物栽培、 农业观赏区域规划与建设和导游服务工作， 德智体美劳全面发展的高素质劳动者和技能型人才。</w:t>
            </w:r>
          </w:p>
          <w:p>
            <w:pPr>
              <w:ind w:firstLine="420" w:firstLineChars="200"/>
              <w:jc w:val="lef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88" w:type="dxa"/>
            <w:gridSpan w:val="4"/>
            <w:vMerge w:val="restart"/>
            <w:vAlign w:val="center"/>
          </w:tcPr>
          <w:p>
            <w:pPr>
              <w:jc w:val="center"/>
              <w:rPr>
                <w:rFonts w:ascii="仿宋_GB2312" w:eastAsia="仿宋_GB2312"/>
                <w:szCs w:val="21"/>
              </w:rPr>
            </w:pPr>
            <w:r>
              <w:rPr>
                <w:rFonts w:hint="eastAsia" w:ascii="仿宋_GB2312" w:eastAsia="仿宋_GB2312"/>
                <w:szCs w:val="21"/>
              </w:rPr>
              <w:t>职业（岗位）面</w:t>
            </w:r>
          </w:p>
          <w:p>
            <w:pPr>
              <w:jc w:val="center"/>
              <w:rPr>
                <w:rFonts w:ascii="仿宋_GB2312" w:eastAsia="仿宋_GB2312"/>
                <w:szCs w:val="21"/>
              </w:rPr>
            </w:pPr>
            <w:r>
              <w:rPr>
                <w:rFonts w:hint="eastAsia" w:ascii="仿宋_GB2312" w:eastAsia="仿宋_GB2312"/>
                <w:szCs w:val="21"/>
              </w:rPr>
              <w:t>向、职业资格、</w:t>
            </w:r>
          </w:p>
          <w:p>
            <w:pPr>
              <w:jc w:val="center"/>
              <w:rPr>
                <w:rFonts w:ascii="仿宋_GB2312" w:eastAsia="仿宋_GB2312"/>
                <w:szCs w:val="21"/>
              </w:rPr>
            </w:pPr>
            <w:r>
              <w:rPr>
                <w:rFonts w:hint="eastAsia" w:ascii="仿宋_GB2312" w:eastAsia="仿宋_GB2312"/>
                <w:szCs w:val="21"/>
              </w:rPr>
              <w:t>继续学习专业</w:t>
            </w:r>
          </w:p>
        </w:tc>
        <w:tc>
          <w:tcPr>
            <w:tcW w:w="1765" w:type="dxa"/>
            <w:vAlign w:val="center"/>
          </w:tcPr>
          <w:p>
            <w:pPr>
              <w:jc w:val="center"/>
              <w:rPr>
                <w:rFonts w:ascii="仿宋_GB2312" w:eastAsia="仿宋_GB2312"/>
                <w:szCs w:val="21"/>
              </w:rPr>
            </w:pPr>
            <w:r>
              <w:rPr>
                <w:rFonts w:hint="eastAsia" w:ascii="仿宋_GB2312" w:eastAsia="仿宋_GB2312"/>
                <w:szCs w:val="21"/>
              </w:rPr>
              <w:t>职业（岗位）</w:t>
            </w:r>
          </w:p>
        </w:tc>
        <w:tc>
          <w:tcPr>
            <w:tcW w:w="2123" w:type="dxa"/>
            <w:vAlign w:val="center"/>
          </w:tcPr>
          <w:p>
            <w:pPr>
              <w:jc w:val="center"/>
              <w:rPr>
                <w:rFonts w:ascii="仿宋_GB2312" w:eastAsia="仿宋_GB2312"/>
                <w:szCs w:val="21"/>
              </w:rPr>
            </w:pPr>
            <w:r>
              <w:rPr>
                <w:rFonts w:hint="eastAsia" w:ascii="仿宋_GB2312" w:eastAsia="仿宋_GB2312"/>
                <w:szCs w:val="21"/>
              </w:rPr>
              <w:t>职业资格要求</w:t>
            </w:r>
          </w:p>
        </w:tc>
        <w:tc>
          <w:tcPr>
            <w:tcW w:w="2746" w:type="dxa"/>
            <w:gridSpan w:val="2"/>
            <w:vAlign w:val="center"/>
          </w:tcPr>
          <w:p>
            <w:pPr>
              <w:jc w:val="center"/>
              <w:rPr>
                <w:rFonts w:ascii="仿宋_GB2312" w:eastAsia="仿宋_GB2312"/>
                <w:szCs w:val="21"/>
              </w:rPr>
            </w:pPr>
            <w:r>
              <w:rPr>
                <w:rFonts w:hint="eastAsia" w:ascii="仿宋_GB2312" w:eastAsia="仿宋_GB2312"/>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88" w:type="dxa"/>
            <w:gridSpan w:val="4"/>
            <w:vMerge w:val="continue"/>
            <w:vAlign w:val="center"/>
          </w:tcPr>
          <w:p>
            <w:pPr>
              <w:jc w:val="center"/>
              <w:rPr>
                <w:rFonts w:ascii="仿宋_GB2312" w:eastAsia="仿宋_GB2312"/>
                <w:szCs w:val="21"/>
              </w:rPr>
            </w:pPr>
          </w:p>
        </w:tc>
        <w:tc>
          <w:tcPr>
            <w:tcW w:w="1765" w:type="dxa"/>
            <w:vAlign w:val="center"/>
          </w:tcPr>
          <w:p>
            <w:pPr>
              <w:jc w:val="center"/>
              <w:rPr>
                <w:rFonts w:ascii="仿宋_GB2312" w:eastAsia="仿宋_GB2312"/>
                <w:szCs w:val="21"/>
              </w:rPr>
            </w:pPr>
            <w:r>
              <w:rPr>
                <w:rFonts w:hint="eastAsia" w:ascii="仿宋_GB2312" w:eastAsia="仿宋_GB2312"/>
                <w:szCs w:val="21"/>
              </w:rPr>
              <w:t>农作物生产员、植保员、花卉园艺工、果树园艺工、导游员</w:t>
            </w:r>
          </w:p>
        </w:tc>
        <w:tc>
          <w:tcPr>
            <w:tcW w:w="2123" w:type="dxa"/>
            <w:vAlign w:val="center"/>
          </w:tcPr>
          <w:p>
            <w:pPr>
              <w:jc w:val="left"/>
              <w:rPr>
                <w:rFonts w:ascii="仿宋_GB2312" w:eastAsia="仿宋_GB2312"/>
                <w:szCs w:val="21"/>
              </w:rPr>
            </w:pPr>
            <w:r>
              <w:rPr>
                <w:rFonts w:hint="eastAsia" w:ascii="仿宋_GB2312" w:eastAsia="仿宋_GB2312"/>
                <w:szCs w:val="21"/>
              </w:rPr>
              <w:t>粮农食品安全评价</w:t>
            </w:r>
          </w:p>
          <w:p>
            <w:pPr>
              <w:jc w:val="left"/>
              <w:rPr>
                <w:rFonts w:ascii="仿宋_GB2312" w:eastAsia="仿宋_GB2312"/>
                <w:szCs w:val="21"/>
              </w:rPr>
            </w:pPr>
            <w:r>
              <w:rPr>
                <w:rFonts w:hint="eastAsia" w:ascii="仿宋_GB2312" w:eastAsia="仿宋_GB2312"/>
                <w:szCs w:val="21"/>
              </w:rPr>
              <w:t>（初级）</w:t>
            </w:r>
          </w:p>
          <w:p>
            <w:pPr>
              <w:jc w:val="left"/>
              <w:rPr>
                <w:rFonts w:ascii="仿宋_GB2312" w:eastAsia="仿宋_GB2312"/>
                <w:szCs w:val="21"/>
              </w:rPr>
            </w:pPr>
            <w:r>
              <w:rPr>
                <w:rFonts w:hint="eastAsia" w:ascii="仿宋_GB2312" w:eastAsia="仿宋_GB2312"/>
                <w:szCs w:val="21"/>
              </w:rPr>
              <w:t>农作物植保员</w:t>
            </w:r>
          </w:p>
          <w:p>
            <w:pPr>
              <w:jc w:val="left"/>
              <w:rPr>
                <w:rFonts w:ascii="仿宋_GB2312" w:eastAsia="仿宋_GB2312"/>
                <w:szCs w:val="21"/>
              </w:rPr>
            </w:pPr>
            <w:r>
              <w:rPr>
                <w:rFonts w:hint="eastAsia" w:ascii="仿宋_GB2312" w:eastAsia="仿宋_GB2312"/>
                <w:szCs w:val="21"/>
              </w:rPr>
              <w:t>（初级）</w:t>
            </w:r>
          </w:p>
          <w:p>
            <w:pPr>
              <w:jc w:val="left"/>
              <w:rPr>
                <w:rFonts w:ascii="仿宋_GB2312" w:eastAsia="仿宋_GB2312"/>
                <w:szCs w:val="21"/>
              </w:rPr>
            </w:pPr>
            <w:r>
              <w:rPr>
                <w:rFonts w:hint="eastAsia" w:ascii="仿宋_GB2312" w:eastAsia="仿宋_GB2312"/>
                <w:szCs w:val="21"/>
              </w:rPr>
              <w:t>导游资格证</w:t>
            </w:r>
          </w:p>
          <w:p>
            <w:pPr>
              <w:jc w:val="left"/>
              <w:rPr>
                <w:rFonts w:ascii="仿宋_GB2312" w:eastAsia="仿宋"/>
                <w:szCs w:val="21"/>
              </w:rPr>
            </w:pPr>
            <w:r>
              <w:rPr>
                <w:rFonts w:hint="eastAsia" w:ascii="仿宋_GB2312" w:eastAsia="仿宋_GB2312"/>
                <w:szCs w:val="21"/>
              </w:rPr>
              <w:t>（初级）</w:t>
            </w:r>
          </w:p>
        </w:tc>
        <w:tc>
          <w:tcPr>
            <w:tcW w:w="1416" w:type="dxa"/>
            <w:vAlign w:val="center"/>
          </w:tcPr>
          <w:p>
            <w:pPr>
              <w:jc w:val="left"/>
              <w:rPr>
                <w:rFonts w:ascii="仿宋_GB2312" w:eastAsia="仿宋_GB2312"/>
                <w:szCs w:val="21"/>
              </w:rPr>
            </w:pPr>
            <w:r>
              <w:rPr>
                <w:rFonts w:hint="eastAsia" w:ascii="仿宋_GB2312" w:eastAsia="仿宋_GB2312"/>
                <w:szCs w:val="21"/>
              </w:rPr>
              <w:t>观光农业、</w:t>
            </w:r>
          </w:p>
          <w:p>
            <w:pPr>
              <w:jc w:val="left"/>
              <w:rPr>
                <w:rFonts w:ascii="仿宋_GB2312" w:eastAsia="仿宋_GB2312"/>
                <w:szCs w:val="21"/>
              </w:rPr>
            </w:pPr>
            <w:r>
              <w:rPr>
                <w:rFonts w:hint="eastAsia" w:ascii="仿宋_GB2312" w:eastAsia="仿宋_GB2312"/>
                <w:szCs w:val="21"/>
              </w:rPr>
              <w:t>园艺技术</w:t>
            </w:r>
          </w:p>
          <w:p>
            <w:pPr>
              <w:jc w:val="left"/>
              <w:rPr>
                <w:rFonts w:ascii="仿宋_GB2312" w:eastAsia="仿宋_GB2312"/>
                <w:szCs w:val="21"/>
              </w:rPr>
            </w:pPr>
            <w:r>
              <w:rPr>
                <w:rFonts w:hint="eastAsia" w:ascii="仿宋_GB2312" w:eastAsia="仿宋_GB2312"/>
                <w:szCs w:val="21"/>
              </w:rPr>
              <w:t>（高职）</w:t>
            </w:r>
          </w:p>
        </w:tc>
        <w:tc>
          <w:tcPr>
            <w:tcW w:w="1330" w:type="dxa"/>
            <w:vAlign w:val="center"/>
          </w:tcPr>
          <w:p>
            <w:pPr>
              <w:jc w:val="left"/>
              <w:rPr>
                <w:rFonts w:ascii="仿宋_GB2312" w:eastAsia="仿宋_GB2312"/>
                <w:szCs w:val="21"/>
              </w:rPr>
            </w:pPr>
            <w:r>
              <w:rPr>
                <w:rFonts w:hint="eastAsia" w:ascii="仿宋_GB2312" w:eastAsia="仿宋_GB2312"/>
                <w:szCs w:val="21"/>
              </w:rPr>
              <w:t>　园艺</w:t>
            </w:r>
          </w:p>
          <w:p>
            <w:pPr>
              <w:jc w:val="left"/>
              <w:rPr>
                <w:rFonts w:ascii="仿宋_GB2312" w:eastAsia="仿宋_GB2312"/>
                <w:szCs w:val="21"/>
              </w:rPr>
            </w:pPr>
            <w:r>
              <w:rPr>
                <w:rFonts w:hint="eastAsia" w:ascii="仿宋_GB2312" w:eastAsia="仿宋_GB2312"/>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1" w:type="dxa"/>
            <w:vMerge w:val="restart"/>
            <w:vAlign w:val="center"/>
          </w:tcPr>
          <w:p>
            <w:pPr>
              <w:jc w:val="center"/>
              <w:rPr>
                <w:rFonts w:ascii="仿宋_GB2312" w:eastAsia="仿宋_GB2312"/>
                <w:szCs w:val="21"/>
              </w:rPr>
            </w:pPr>
            <w:r>
              <w:rPr>
                <w:rFonts w:hint="eastAsia" w:ascii="仿宋_GB2312" w:eastAsia="仿宋_GB2312"/>
                <w:szCs w:val="21"/>
              </w:rPr>
              <w:t>综</w:t>
            </w:r>
          </w:p>
          <w:p>
            <w:pPr>
              <w:jc w:val="center"/>
              <w:rPr>
                <w:rFonts w:ascii="仿宋_GB2312" w:eastAsia="仿宋_GB2312"/>
                <w:szCs w:val="21"/>
              </w:rPr>
            </w:pPr>
            <w:r>
              <w:rPr>
                <w:rFonts w:hint="eastAsia" w:ascii="仿宋_GB2312" w:eastAsia="仿宋_GB2312"/>
                <w:szCs w:val="21"/>
              </w:rPr>
              <w:t>合</w:t>
            </w:r>
          </w:p>
          <w:p>
            <w:pPr>
              <w:jc w:val="center"/>
              <w:rPr>
                <w:rFonts w:ascii="仿宋_GB2312" w:eastAsia="仿宋_GB2312"/>
                <w:szCs w:val="21"/>
              </w:rPr>
            </w:pPr>
            <w:r>
              <w:rPr>
                <w:rFonts w:hint="eastAsia" w:ascii="仿宋_GB2312" w:eastAsia="仿宋_GB2312"/>
                <w:szCs w:val="21"/>
              </w:rPr>
              <w:t>素</w:t>
            </w:r>
          </w:p>
          <w:p>
            <w:pPr>
              <w:jc w:val="center"/>
              <w:rPr>
                <w:rFonts w:ascii="仿宋_GB2312" w:eastAsia="仿宋_GB2312"/>
                <w:szCs w:val="21"/>
              </w:rPr>
            </w:pPr>
            <w:r>
              <w:rPr>
                <w:rFonts w:hint="eastAsia" w:ascii="仿宋_GB2312" w:eastAsia="仿宋_GB2312"/>
                <w:szCs w:val="21"/>
              </w:rPr>
              <w:t>质</w:t>
            </w:r>
          </w:p>
          <w:p>
            <w:pPr>
              <w:jc w:val="center"/>
              <w:rPr>
                <w:rFonts w:ascii="仿宋_GB2312" w:eastAsia="仿宋_GB2312"/>
                <w:szCs w:val="21"/>
              </w:rPr>
            </w:pPr>
            <w:r>
              <w:rPr>
                <w:rFonts w:hint="eastAsia" w:ascii="仿宋_GB2312" w:eastAsia="仿宋_GB2312"/>
                <w:szCs w:val="21"/>
              </w:rPr>
              <w:t>及</w:t>
            </w:r>
          </w:p>
          <w:p>
            <w:pPr>
              <w:jc w:val="center"/>
              <w:rPr>
                <w:rFonts w:ascii="仿宋_GB2312" w:eastAsia="仿宋_GB2312"/>
                <w:szCs w:val="21"/>
              </w:rPr>
            </w:pPr>
            <w:r>
              <w:rPr>
                <w:rFonts w:hint="eastAsia" w:ascii="仿宋_GB2312" w:eastAsia="仿宋_GB2312"/>
                <w:szCs w:val="21"/>
              </w:rPr>
              <w:t>职</w:t>
            </w:r>
          </w:p>
          <w:p>
            <w:pPr>
              <w:jc w:val="center"/>
              <w:rPr>
                <w:rFonts w:ascii="仿宋_GB2312" w:eastAsia="仿宋_GB2312"/>
                <w:szCs w:val="21"/>
              </w:rPr>
            </w:pPr>
            <w:r>
              <w:rPr>
                <w:rFonts w:hint="eastAsia" w:ascii="仿宋_GB2312" w:eastAsia="仿宋_GB2312"/>
                <w:szCs w:val="21"/>
              </w:rPr>
              <w:t>业</w:t>
            </w:r>
          </w:p>
          <w:p>
            <w:pPr>
              <w:jc w:val="center"/>
              <w:rPr>
                <w:rFonts w:ascii="仿宋_GB2312" w:eastAsia="仿宋_GB2312"/>
                <w:szCs w:val="21"/>
              </w:rPr>
            </w:pPr>
            <w:r>
              <w:rPr>
                <w:rFonts w:hint="eastAsia" w:ascii="仿宋_GB2312" w:eastAsia="仿宋_GB2312"/>
                <w:szCs w:val="21"/>
              </w:rPr>
              <w:t>能</w:t>
            </w:r>
          </w:p>
          <w:p>
            <w:pPr>
              <w:jc w:val="center"/>
              <w:rPr>
                <w:rFonts w:ascii="仿宋_GB2312" w:eastAsia="仿宋_GB2312"/>
                <w:szCs w:val="21"/>
              </w:rPr>
            </w:pPr>
            <w:r>
              <w:rPr>
                <w:rFonts w:hint="eastAsia" w:ascii="仿宋_GB2312" w:eastAsia="仿宋_GB2312"/>
                <w:szCs w:val="21"/>
              </w:rPr>
              <w:t>力</w:t>
            </w:r>
          </w:p>
        </w:tc>
        <w:tc>
          <w:tcPr>
            <w:tcW w:w="1247" w:type="dxa"/>
            <w:gridSpan w:val="3"/>
            <w:vAlign w:val="center"/>
          </w:tcPr>
          <w:p>
            <w:pPr>
              <w:jc w:val="center"/>
              <w:rPr>
                <w:rFonts w:ascii="仿宋_GB2312" w:eastAsia="仿宋_GB2312"/>
                <w:szCs w:val="21"/>
              </w:rPr>
            </w:pPr>
            <w:r>
              <w:rPr>
                <w:rFonts w:hint="eastAsia" w:ascii="仿宋_GB2312" w:eastAsia="仿宋_GB2312"/>
                <w:szCs w:val="21"/>
              </w:rPr>
              <w:t>综合素质</w:t>
            </w:r>
          </w:p>
        </w:tc>
        <w:tc>
          <w:tcPr>
            <w:tcW w:w="6634" w:type="dxa"/>
            <w:gridSpan w:val="4"/>
            <w:vAlign w:val="center"/>
          </w:tcPr>
          <w:p>
            <w:pPr>
              <w:jc w:val="left"/>
              <w:rPr>
                <w:rFonts w:ascii="仿宋_GB2312" w:eastAsia="仿宋_GB2312"/>
                <w:szCs w:val="21"/>
              </w:rPr>
            </w:pPr>
            <w:r>
              <w:rPr>
                <w:rFonts w:hint="eastAsia" w:ascii="仿宋_GB2312" w:eastAsia="仿宋_GB2312"/>
                <w:szCs w:val="21"/>
              </w:rPr>
              <w:t>1.坚定拥护中国共产党领导和我国社会主义制度；</w:t>
            </w:r>
          </w:p>
          <w:p>
            <w:pPr>
              <w:jc w:val="left"/>
              <w:rPr>
                <w:rFonts w:ascii="仿宋_GB2312" w:eastAsia="仿宋_GB2312"/>
                <w:szCs w:val="21"/>
              </w:rPr>
            </w:pPr>
            <w:r>
              <w:rPr>
                <w:rFonts w:hint="eastAsia" w:ascii="仿宋_GB2312" w:eastAsia="仿宋_GB2312"/>
                <w:szCs w:val="21"/>
              </w:rPr>
              <w:t>2.崇尚宪法、遵法守纪、崇德向善、诚实守信、尊重生命、热爱劳动；</w:t>
            </w:r>
          </w:p>
          <w:p>
            <w:pPr>
              <w:jc w:val="left"/>
              <w:rPr>
                <w:rFonts w:ascii="仿宋_GB2312" w:eastAsia="仿宋_GB2312"/>
                <w:szCs w:val="21"/>
              </w:rPr>
            </w:pPr>
            <w:r>
              <w:rPr>
                <w:rFonts w:hint="eastAsia" w:ascii="仿宋_GB2312" w:eastAsia="仿宋_GB2312"/>
                <w:szCs w:val="21"/>
              </w:rPr>
              <w:t>3.具有良好的职业道德，能自觉遵守行业法规和企业规章制度；</w:t>
            </w:r>
          </w:p>
          <w:p>
            <w:pPr>
              <w:jc w:val="left"/>
              <w:rPr>
                <w:rFonts w:ascii="仿宋_GB2312" w:eastAsia="仿宋_GB2312"/>
                <w:szCs w:val="21"/>
              </w:rPr>
            </w:pPr>
            <w:r>
              <w:rPr>
                <w:rFonts w:hint="eastAsia" w:ascii="仿宋_GB2312" w:eastAsia="仿宋_GB2312"/>
                <w:szCs w:val="21"/>
              </w:rPr>
              <w:t>4.具有吃苦耐劳、踏实肯干、认真负责、勇于创新的职业精神；</w:t>
            </w:r>
          </w:p>
          <w:p>
            <w:pPr>
              <w:jc w:val="left"/>
              <w:rPr>
                <w:rFonts w:ascii="仿宋_GB2312" w:eastAsia="仿宋_GB2312"/>
                <w:szCs w:val="21"/>
              </w:rPr>
            </w:pPr>
            <w:r>
              <w:rPr>
                <w:rFonts w:hint="eastAsia" w:ascii="仿宋_GB2312" w:eastAsia="仿宋_GB2312"/>
                <w:szCs w:val="21"/>
              </w:rPr>
              <w:t>5.具有良好的服务意识与团队合作意识；</w:t>
            </w:r>
          </w:p>
          <w:p>
            <w:pPr>
              <w:jc w:val="left"/>
              <w:rPr>
                <w:rFonts w:ascii="仿宋_GB2312" w:eastAsia="仿宋_GB2312"/>
                <w:szCs w:val="21"/>
              </w:rPr>
            </w:pPr>
            <w:r>
              <w:rPr>
                <w:rFonts w:hint="eastAsia" w:ascii="仿宋_GB2312" w:eastAsia="仿宋_GB2312"/>
                <w:szCs w:val="21"/>
              </w:rPr>
              <w:t>6.具有扎实的专业知识，能为当地农业的发展做贡献。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641" w:type="dxa"/>
            <w:vMerge w:val="continue"/>
            <w:vAlign w:val="center"/>
          </w:tcPr>
          <w:p>
            <w:pPr>
              <w:jc w:val="center"/>
              <w:rPr>
                <w:rFonts w:ascii="仿宋_GB2312" w:eastAsia="仿宋_GB2312"/>
                <w:szCs w:val="21"/>
              </w:rPr>
            </w:pPr>
          </w:p>
        </w:tc>
        <w:tc>
          <w:tcPr>
            <w:tcW w:w="516" w:type="dxa"/>
            <w:gridSpan w:val="2"/>
            <w:vMerge w:val="restart"/>
            <w:vAlign w:val="center"/>
          </w:tcPr>
          <w:p>
            <w:pPr>
              <w:jc w:val="center"/>
              <w:rPr>
                <w:rFonts w:ascii="仿宋_GB2312" w:eastAsia="仿宋_GB2312"/>
                <w:szCs w:val="21"/>
              </w:rPr>
            </w:pPr>
            <w:r>
              <w:rPr>
                <w:rFonts w:hint="eastAsia" w:ascii="仿宋_GB2312" w:eastAsia="仿宋_GB2312"/>
                <w:szCs w:val="21"/>
              </w:rPr>
              <w:t>职业能力</w:t>
            </w:r>
          </w:p>
        </w:tc>
        <w:tc>
          <w:tcPr>
            <w:tcW w:w="731" w:type="dxa"/>
            <w:vAlign w:val="center"/>
          </w:tcPr>
          <w:p>
            <w:pPr>
              <w:jc w:val="left"/>
              <w:rPr>
                <w:rFonts w:ascii="仿宋_GB2312" w:eastAsia="仿宋_GB2312"/>
                <w:szCs w:val="21"/>
              </w:rPr>
            </w:pPr>
            <w:r>
              <w:rPr>
                <w:rFonts w:hint="eastAsia" w:ascii="仿宋_GB2312" w:eastAsia="仿宋_GB2312"/>
                <w:szCs w:val="21"/>
              </w:rPr>
              <w:t>行业通用能力</w:t>
            </w:r>
          </w:p>
        </w:tc>
        <w:tc>
          <w:tcPr>
            <w:tcW w:w="6634" w:type="dxa"/>
            <w:gridSpan w:val="4"/>
            <w:vAlign w:val="center"/>
          </w:tcPr>
          <w:p>
            <w:pPr>
              <w:jc w:val="left"/>
              <w:rPr>
                <w:rFonts w:ascii="仿宋_GB2312" w:eastAsia="仿宋_GB2312"/>
                <w:szCs w:val="21"/>
              </w:rPr>
            </w:pPr>
            <w:r>
              <w:rPr>
                <w:rFonts w:hint="eastAsia" w:ascii="仿宋_GB2312" w:eastAsia="仿宋_GB2312"/>
                <w:szCs w:val="21"/>
              </w:rPr>
              <w:t>1. 掌握观赏植物的育苗技术；</w:t>
            </w:r>
          </w:p>
          <w:p>
            <w:pPr>
              <w:jc w:val="left"/>
              <w:rPr>
                <w:rFonts w:ascii="仿宋_GB2312" w:eastAsia="仿宋_GB2312"/>
                <w:szCs w:val="21"/>
              </w:rPr>
            </w:pPr>
            <w:r>
              <w:rPr>
                <w:rFonts w:hint="eastAsia" w:ascii="仿宋_GB2312" w:eastAsia="仿宋_GB2312"/>
                <w:szCs w:val="21"/>
              </w:rPr>
              <w:t>2. 掌握观赏植物的栽培技术；</w:t>
            </w:r>
          </w:p>
          <w:p>
            <w:pPr>
              <w:jc w:val="left"/>
              <w:rPr>
                <w:rFonts w:ascii="仿宋_GB2312" w:eastAsia="仿宋_GB2312"/>
                <w:szCs w:val="21"/>
              </w:rPr>
            </w:pPr>
            <w:r>
              <w:rPr>
                <w:rFonts w:hint="eastAsia" w:ascii="仿宋_GB2312" w:eastAsia="仿宋_GB2312"/>
                <w:szCs w:val="21"/>
              </w:rPr>
              <w:t>3. 能熟悉识别各种观赏植物的种类；</w:t>
            </w:r>
          </w:p>
          <w:p>
            <w:pPr>
              <w:jc w:val="left"/>
              <w:rPr>
                <w:rFonts w:ascii="仿宋_GB2312" w:eastAsia="仿宋_GB2312"/>
                <w:szCs w:val="21"/>
              </w:rPr>
            </w:pPr>
            <w:r>
              <w:rPr>
                <w:rFonts w:hint="eastAsia" w:ascii="仿宋_GB2312" w:eastAsia="仿宋_GB2312"/>
                <w:szCs w:val="21"/>
              </w:rPr>
              <w:t>4. 具有土肥水管理能力；</w:t>
            </w:r>
          </w:p>
          <w:p>
            <w:pPr>
              <w:jc w:val="left"/>
              <w:rPr>
                <w:rFonts w:ascii="仿宋_GB2312" w:eastAsia="仿宋_GB2312"/>
                <w:szCs w:val="21"/>
              </w:rPr>
            </w:pPr>
            <w:r>
              <w:rPr>
                <w:rFonts w:hint="eastAsia" w:ascii="仿宋_GB2312" w:eastAsia="仿宋_GB2312"/>
                <w:szCs w:val="21"/>
              </w:rPr>
              <w:t>5. 能对观赏植物进行整形修剪，具有调节树体结构的能力。</w:t>
            </w:r>
          </w:p>
          <w:p>
            <w:pPr>
              <w:jc w:val="left"/>
              <w:rPr>
                <w:rFonts w:ascii="仿宋_GB2312"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641" w:type="dxa"/>
            <w:vMerge w:val="continue"/>
            <w:vAlign w:val="center"/>
          </w:tcPr>
          <w:p>
            <w:pPr>
              <w:jc w:val="center"/>
              <w:rPr>
                <w:rFonts w:ascii="仿宋_GB2312" w:eastAsia="仿宋_GB2312"/>
                <w:szCs w:val="21"/>
              </w:rPr>
            </w:pPr>
          </w:p>
        </w:tc>
        <w:tc>
          <w:tcPr>
            <w:tcW w:w="516" w:type="dxa"/>
            <w:gridSpan w:val="2"/>
            <w:vMerge w:val="continue"/>
            <w:vAlign w:val="center"/>
          </w:tcPr>
          <w:p>
            <w:pPr>
              <w:jc w:val="center"/>
              <w:rPr>
                <w:rFonts w:ascii="仿宋_GB2312" w:eastAsia="仿宋_GB2312"/>
                <w:szCs w:val="21"/>
              </w:rPr>
            </w:pPr>
          </w:p>
        </w:tc>
        <w:tc>
          <w:tcPr>
            <w:tcW w:w="731" w:type="dxa"/>
            <w:vAlign w:val="center"/>
          </w:tcPr>
          <w:p>
            <w:pPr>
              <w:jc w:val="center"/>
              <w:rPr>
                <w:rFonts w:ascii="仿宋_GB2312" w:eastAsia="仿宋_GB2312"/>
                <w:szCs w:val="21"/>
              </w:rPr>
            </w:pPr>
            <w:r>
              <w:rPr>
                <w:rFonts w:hint="eastAsia" w:ascii="仿宋_GB2312" w:eastAsia="仿宋_GB2312"/>
                <w:szCs w:val="21"/>
              </w:rPr>
              <w:t>职业特定能力</w:t>
            </w:r>
          </w:p>
        </w:tc>
        <w:tc>
          <w:tcPr>
            <w:tcW w:w="6634" w:type="dxa"/>
            <w:gridSpan w:val="4"/>
            <w:vAlign w:val="center"/>
          </w:tcPr>
          <w:p>
            <w:pPr>
              <w:jc w:val="left"/>
              <w:rPr>
                <w:rFonts w:ascii="仿宋_GB2312" w:eastAsia="仿宋_GB2312"/>
                <w:szCs w:val="21"/>
              </w:rPr>
            </w:pPr>
            <w:r>
              <w:rPr>
                <w:rFonts w:hint="eastAsia" w:ascii="仿宋_GB2312" w:eastAsia="仿宋_GB2312"/>
                <w:szCs w:val="21"/>
              </w:rPr>
              <w:t>1. 具有识别和防治观赏植物病虫害的能力；</w:t>
            </w:r>
          </w:p>
          <w:p>
            <w:pPr>
              <w:jc w:val="left"/>
              <w:rPr>
                <w:rFonts w:ascii="仿宋_GB2312" w:eastAsia="仿宋_GB2312"/>
                <w:szCs w:val="21"/>
              </w:rPr>
            </w:pPr>
            <w:r>
              <w:rPr>
                <w:rFonts w:hint="eastAsia" w:ascii="仿宋_GB2312" w:eastAsia="仿宋_GB2312"/>
                <w:szCs w:val="21"/>
              </w:rPr>
              <w:t>2.具有识别和防治观赏植物病虫害的能力；</w:t>
            </w:r>
          </w:p>
          <w:p>
            <w:pPr>
              <w:jc w:val="left"/>
              <w:rPr>
                <w:rFonts w:ascii="仿宋_GB2312" w:eastAsia="仿宋_GB2312"/>
                <w:szCs w:val="21"/>
              </w:rPr>
            </w:pPr>
            <w:r>
              <w:rPr>
                <w:rFonts w:hint="eastAsia" w:ascii="仿宋_GB2312" w:eastAsia="仿宋_GB2312"/>
                <w:szCs w:val="21"/>
              </w:rPr>
              <w:t>3.具备对农业观赏园区进行规划设计的能力；</w:t>
            </w:r>
          </w:p>
          <w:p>
            <w:pPr>
              <w:jc w:val="left"/>
              <w:rPr>
                <w:rFonts w:ascii="仿宋_GB2312" w:eastAsia="仿宋_GB2312"/>
                <w:szCs w:val="21"/>
              </w:rPr>
            </w:pPr>
            <w:r>
              <w:rPr>
                <w:rFonts w:hint="eastAsia" w:ascii="仿宋_GB2312" w:eastAsia="仿宋_GB2312"/>
                <w:szCs w:val="21"/>
              </w:rPr>
              <w:t>4.具备对室内植物装饰进行设计的能力；</w:t>
            </w:r>
          </w:p>
          <w:p>
            <w:pPr>
              <w:jc w:val="left"/>
              <w:rPr>
                <w:rFonts w:ascii="仿宋_GB2312" w:eastAsia="仿宋_GB2312"/>
                <w:szCs w:val="21"/>
              </w:rPr>
            </w:pPr>
            <w:r>
              <w:rPr>
                <w:rFonts w:hint="eastAsia" w:ascii="仿宋_GB2312" w:eastAsia="仿宋_GB2312"/>
                <w:szCs w:val="21"/>
              </w:rPr>
              <w:t>5.具备对观光园区进行讲解的能力。</w:t>
            </w:r>
          </w:p>
          <w:p>
            <w:pPr>
              <w:jc w:val="lef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641" w:type="dxa"/>
            <w:vMerge w:val="continue"/>
            <w:vAlign w:val="center"/>
          </w:tcPr>
          <w:p>
            <w:pPr>
              <w:jc w:val="center"/>
              <w:rPr>
                <w:rFonts w:ascii="仿宋_GB2312" w:eastAsia="仿宋_GB2312"/>
                <w:szCs w:val="21"/>
              </w:rPr>
            </w:pPr>
          </w:p>
        </w:tc>
        <w:tc>
          <w:tcPr>
            <w:tcW w:w="516" w:type="dxa"/>
            <w:gridSpan w:val="2"/>
            <w:vMerge w:val="continue"/>
            <w:vAlign w:val="center"/>
          </w:tcPr>
          <w:p>
            <w:pPr>
              <w:jc w:val="center"/>
              <w:rPr>
                <w:rFonts w:ascii="仿宋_GB2312" w:eastAsia="仿宋_GB2312"/>
                <w:szCs w:val="21"/>
              </w:rPr>
            </w:pPr>
          </w:p>
        </w:tc>
        <w:tc>
          <w:tcPr>
            <w:tcW w:w="731" w:type="dxa"/>
            <w:vAlign w:val="center"/>
          </w:tcPr>
          <w:p>
            <w:pPr>
              <w:jc w:val="center"/>
              <w:rPr>
                <w:rFonts w:ascii="仿宋_GB2312" w:eastAsia="仿宋_GB2312"/>
                <w:szCs w:val="21"/>
              </w:rPr>
            </w:pPr>
            <w:r>
              <w:rPr>
                <w:rFonts w:hint="eastAsia" w:ascii="仿宋_GB2312" w:eastAsia="仿宋_GB2312"/>
                <w:szCs w:val="21"/>
              </w:rPr>
              <w:t>跨行业职业能力</w:t>
            </w:r>
          </w:p>
        </w:tc>
        <w:tc>
          <w:tcPr>
            <w:tcW w:w="6634" w:type="dxa"/>
            <w:gridSpan w:val="4"/>
            <w:vAlign w:val="center"/>
          </w:tcPr>
          <w:p>
            <w:pPr>
              <w:jc w:val="left"/>
              <w:rPr>
                <w:rFonts w:ascii="仿宋_GB2312" w:eastAsia="仿宋_GB2312"/>
                <w:szCs w:val="21"/>
              </w:rPr>
            </w:pPr>
            <w:r>
              <w:rPr>
                <w:rFonts w:hint="eastAsia" w:ascii="仿宋_GB2312" w:eastAsia="仿宋_GB2312"/>
                <w:szCs w:val="21"/>
              </w:rPr>
              <w:t>1.具有探究学习、终身学习、分析问题和解决问题的能力；</w:t>
            </w:r>
          </w:p>
          <w:p>
            <w:pPr>
              <w:jc w:val="left"/>
              <w:rPr>
                <w:rFonts w:ascii="仿宋_GB2312" w:eastAsia="仿宋_GB2312"/>
                <w:szCs w:val="21"/>
              </w:rPr>
            </w:pPr>
            <w:r>
              <w:rPr>
                <w:rFonts w:hint="eastAsia" w:ascii="仿宋_GB2312" w:eastAsia="仿宋_GB2312"/>
                <w:szCs w:val="21"/>
              </w:rPr>
              <w:t>2.具有良好的语言、文字表达能力和沟通能力；</w:t>
            </w:r>
          </w:p>
          <w:p>
            <w:pPr>
              <w:jc w:val="left"/>
              <w:rPr>
                <w:rFonts w:ascii="仿宋_GB2312" w:eastAsia="仿宋_GB2312"/>
                <w:szCs w:val="21"/>
              </w:rPr>
            </w:pPr>
            <w:r>
              <w:rPr>
                <w:rFonts w:hint="eastAsia" w:ascii="仿宋_GB2312" w:eastAsia="仿宋_GB2312"/>
                <w:szCs w:val="21"/>
              </w:rPr>
              <w:t>3.具有科学生产、规范操作、绿色环保、节约资源的意识；</w:t>
            </w:r>
          </w:p>
          <w:p>
            <w:pPr>
              <w:jc w:val="left"/>
              <w:rPr>
                <w:rFonts w:ascii="仿宋_GB2312" w:eastAsia="仿宋_GB2312"/>
                <w:szCs w:val="21"/>
              </w:rPr>
            </w:pPr>
            <w:r>
              <w:rPr>
                <w:rFonts w:hint="eastAsia" w:ascii="仿宋_GB2312" w:eastAsia="仿宋_GB2312"/>
                <w:szCs w:val="21"/>
              </w:rPr>
              <w:t>4.掌握主要观赏植物生理与栽培的基础知识；</w:t>
            </w:r>
          </w:p>
          <w:p>
            <w:pPr>
              <w:jc w:val="left"/>
              <w:rPr>
                <w:rFonts w:ascii="仿宋_GB2312" w:eastAsia="仿宋_GB2312"/>
                <w:szCs w:val="21"/>
              </w:rPr>
            </w:pPr>
            <w:r>
              <w:rPr>
                <w:rFonts w:hint="eastAsia" w:ascii="仿宋_GB2312" w:eastAsia="仿宋_GB2312"/>
                <w:szCs w:val="21"/>
              </w:rPr>
              <w:t>5.能运用现代农业设施进行主要观赏植物的栽培、管理与采摘、销售。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07" w:type="dxa"/>
            <w:gridSpan w:val="2"/>
            <w:vAlign w:val="center"/>
          </w:tcPr>
          <w:p>
            <w:pPr>
              <w:jc w:val="center"/>
              <w:rPr>
                <w:rFonts w:ascii="仿宋_GB2312" w:eastAsia="仿宋_GB2312"/>
                <w:szCs w:val="21"/>
              </w:rPr>
            </w:pPr>
            <w:r>
              <w:rPr>
                <w:rFonts w:hint="eastAsia" w:ascii="仿宋_GB2312" w:eastAsia="仿宋_GB2312"/>
                <w:szCs w:val="21"/>
              </w:rPr>
              <w:t>学校</w:t>
            </w:r>
          </w:p>
          <w:p>
            <w:pPr>
              <w:jc w:val="center"/>
              <w:rPr>
                <w:rFonts w:ascii="仿宋_GB2312" w:eastAsia="仿宋_GB2312"/>
                <w:szCs w:val="21"/>
              </w:rPr>
            </w:pPr>
            <w:r>
              <w:rPr>
                <w:rFonts w:hint="eastAsia" w:ascii="仿宋_GB2312" w:eastAsia="仿宋_GB2312"/>
                <w:szCs w:val="21"/>
              </w:rPr>
              <w:t>对校</w:t>
            </w:r>
          </w:p>
          <w:p>
            <w:pPr>
              <w:jc w:val="center"/>
              <w:rPr>
                <w:rFonts w:ascii="仿宋_GB2312" w:eastAsia="仿宋_GB2312"/>
                <w:szCs w:val="21"/>
              </w:rPr>
            </w:pPr>
            <w:r>
              <w:rPr>
                <w:rFonts w:hint="eastAsia" w:ascii="仿宋_GB2312" w:eastAsia="仿宋_GB2312"/>
                <w:szCs w:val="21"/>
              </w:rPr>
              <w:t>本计</w:t>
            </w:r>
          </w:p>
          <w:p>
            <w:pPr>
              <w:jc w:val="center"/>
              <w:rPr>
                <w:rFonts w:ascii="仿宋_GB2312" w:eastAsia="仿宋_GB2312"/>
                <w:szCs w:val="21"/>
              </w:rPr>
            </w:pPr>
            <w:r>
              <w:rPr>
                <w:rFonts w:hint="eastAsia" w:ascii="仿宋_GB2312" w:eastAsia="仿宋_GB2312"/>
                <w:szCs w:val="21"/>
              </w:rPr>
              <w:t>划说</w:t>
            </w:r>
          </w:p>
          <w:p>
            <w:pPr>
              <w:jc w:val="center"/>
              <w:rPr>
                <w:rFonts w:ascii="仿宋_GB2312" w:eastAsia="仿宋_GB2312"/>
                <w:szCs w:val="21"/>
              </w:rPr>
            </w:pPr>
            <w:r>
              <w:rPr>
                <w:rFonts w:hint="eastAsia" w:ascii="仿宋_GB2312" w:eastAsia="仿宋_GB2312"/>
                <w:szCs w:val="21"/>
              </w:rPr>
              <w:t>明</w:t>
            </w:r>
          </w:p>
        </w:tc>
        <w:tc>
          <w:tcPr>
            <w:tcW w:w="7715" w:type="dxa"/>
            <w:gridSpan w:val="6"/>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5" w:hRule="atLeast"/>
          <w:jc w:val="center"/>
        </w:trPr>
        <w:tc>
          <w:tcPr>
            <w:tcW w:w="807" w:type="dxa"/>
            <w:gridSpan w:val="2"/>
            <w:vAlign w:val="center"/>
          </w:tcPr>
          <w:p>
            <w:pPr>
              <w:jc w:val="center"/>
              <w:rPr>
                <w:rFonts w:ascii="仿宋_GB2312" w:eastAsia="仿宋_GB2312"/>
                <w:szCs w:val="21"/>
              </w:rPr>
            </w:pPr>
            <w:r>
              <w:rPr>
                <w:rFonts w:hint="eastAsia" w:ascii="仿宋_GB2312" w:eastAsia="仿宋_GB2312"/>
                <w:szCs w:val="21"/>
              </w:rPr>
              <w:t>学校党组织审核意见</w:t>
            </w:r>
          </w:p>
        </w:tc>
        <w:tc>
          <w:tcPr>
            <w:tcW w:w="7715" w:type="dxa"/>
            <w:gridSpan w:val="6"/>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07" w:type="dxa"/>
            <w:gridSpan w:val="2"/>
            <w:vAlign w:val="center"/>
          </w:tcPr>
          <w:p>
            <w:pPr>
              <w:jc w:val="center"/>
              <w:rPr>
                <w:rFonts w:ascii="仿宋_GB2312" w:eastAsia="仿宋_GB2312"/>
                <w:szCs w:val="21"/>
              </w:rPr>
            </w:pPr>
            <w:r>
              <w:rPr>
                <w:rFonts w:hint="eastAsia" w:ascii="仿宋_GB2312" w:eastAsia="仿宋_GB2312"/>
                <w:szCs w:val="21"/>
              </w:rPr>
              <w:t>县区</w:t>
            </w:r>
          </w:p>
          <w:p>
            <w:pPr>
              <w:jc w:val="center"/>
              <w:rPr>
                <w:rFonts w:ascii="仿宋_GB2312" w:eastAsia="仿宋_GB2312"/>
                <w:szCs w:val="21"/>
              </w:rPr>
            </w:pPr>
            <w:r>
              <w:rPr>
                <w:rFonts w:hint="eastAsia" w:ascii="仿宋_GB2312" w:eastAsia="仿宋_GB2312"/>
                <w:szCs w:val="21"/>
              </w:rPr>
              <w:t>教育</w:t>
            </w:r>
          </w:p>
          <w:p>
            <w:pPr>
              <w:jc w:val="center"/>
              <w:rPr>
                <w:rFonts w:ascii="仿宋_GB2312" w:eastAsia="仿宋_GB2312"/>
                <w:szCs w:val="21"/>
              </w:rPr>
            </w:pPr>
            <w:r>
              <w:rPr>
                <w:rFonts w:hint="eastAsia" w:ascii="仿宋_GB2312" w:eastAsia="仿宋_GB2312"/>
                <w:szCs w:val="21"/>
              </w:rPr>
              <w:t>局审</w:t>
            </w:r>
          </w:p>
          <w:p>
            <w:pPr>
              <w:jc w:val="center"/>
              <w:rPr>
                <w:rFonts w:ascii="仿宋_GB2312" w:eastAsia="仿宋_GB2312"/>
                <w:szCs w:val="21"/>
              </w:rPr>
            </w:pPr>
            <w:r>
              <w:rPr>
                <w:rFonts w:hint="eastAsia" w:ascii="仿宋_GB2312" w:eastAsia="仿宋_GB2312"/>
                <w:szCs w:val="21"/>
              </w:rPr>
              <w:t>核意</w:t>
            </w:r>
          </w:p>
          <w:p>
            <w:pPr>
              <w:jc w:val="center"/>
              <w:rPr>
                <w:rFonts w:ascii="仿宋_GB2312" w:eastAsia="仿宋_GB2312"/>
                <w:szCs w:val="21"/>
              </w:rPr>
            </w:pPr>
            <w:r>
              <w:rPr>
                <w:rFonts w:hint="eastAsia" w:ascii="仿宋_GB2312" w:eastAsia="仿宋_GB2312"/>
                <w:szCs w:val="21"/>
              </w:rPr>
              <w:t>见</w:t>
            </w:r>
          </w:p>
        </w:tc>
        <w:tc>
          <w:tcPr>
            <w:tcW w:w="7715" w:type="dxa"/>
            <w:gridSpan w:val="6"/>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807" w:type="dxa"/>
            <w:gridSpan w:val="2"/>
            <w:vAlign w:val="center"/>
          </w:tcPr>
          <w:p>
            <w:pPr>
              <w:jc w:val="center"/>
              <w:rPr>
                <w:rFonts w:ascii="仿宋_GB2312" w:eastAsia="仿宋_GB2312"/>
                <w:szCs w:val="21"/>
              </w:rPr>
            </w:pPr>
            <w:r>
              <w:rPr>
                <w:rFonts w:hint="eastAsia" w:ascii="仿宋_GB2312" w:eastAsia="仿宋_GB2312"/>
                <w:szCs w:val="21"/>
              </w:rPr>
              <w:t>市教</w:t>
            </w:r>
          </w:p>
          <w:p>
            <w:pPr>
              <w:jc w:val="center"/>
              <w:rPr>
                <w:rFonts w:ascii="仿宋_GB2312" w:eastAsia="仿宋_GB2312"/>
                <w:szCs w:val="21"/>
              </w:rPr>
            </w:pPr>
            <w:r>
              <w:rPr>
                <w:rFonts w:hint="eastAsia" w:ascii="仿宋_GB2312" w:eastAsia="仿宋_GB2312"/>
                <w:szCs w:val="21"/>
              </w:rPr>
              <w:t>育局</w:t>
            </w:r>
          </w:p>
          <w:p>
            <w:pPr>
              <w:jc w:val="center"/>
              <w:rPr>
                <w:rFonts w:ascii="仿宋_GB2312" w:eastAsia="仿宋_GB2312"/>
                <w:szCs w:val="21"/>
              </w:rPr>
            </w:pPr>
            <w:r>
              <w:rPr>
                <w:rFonts w:hint="eastAsia" w:ascii="仿宋_GB2312" w:eastAsia="仿宋_GB2312"/>
                <w:szCs w:val="21"/>
              </w:rPr>
              <w:t>审批</w:t>
            </w:r>
          </w:p>
          <w:p>
            <w:pPr>
              <w:jc w:val="center"/>
              <w:rPr>
                <w:rFonts w:ascii="仿宋_GB2312" w:eastAsia="仿宋_GB2312"/>
                <w:szCs w:val="21"/>
              </w:rPr>
            </w:pPr>
            <w:r>
              <w:rPr>
                <w:rFonts w:hint="eastAsia" w:ascii="仿宋_GB2312" w:eastAsia="仿宋_GB2312"/>
                <w:szCs w:val="21"/>
              </w:rPr>
              <w:t>意见</w:t>
            </w:r>
          </w:p>
        </w:tc>
        <w:tc>
          <w:tcPr>
            <w:tcW w:w="7715" w:type="dxa"/>
            <w:gridSpan w:val="6"/>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5145" w:firstLineChars="2450"/>
              <w:rPr>
                <w:rFonts w:ascii="仿宋_GB2312" w:eastAsia="仿宋_GB2312"/>
                <w:szCs w:val="21"/>
              </w:rPr>
            </w:pPr>
            <w:r>
              <w:rPr>
                <w:rFonts w:hint="eastAsia" w:ascii="仿宋_GB2312" w:eastAsia="仿宋_GB2312"/>
                <w:szCs w:val="21"/>
              </w:rPr>
              <w:t>年   月   日</w:t>
            </w:r>
          </w:p>
        </w:tc>
      </w:tr>
    </w:tbl>
    <w:p>
      <w:pPr>
        <w:spacing w:line="480" w:lineRule="exact"/>
        <w:ind w:firstLine="560" w:firstLineChars="200"/>
        <w:jc w:val="left"/>
        <w:outlineLvl w:val="0"/>
        <w:rPr>
          <w:rFonts w:ascii="仿宋" w:hAnsi="仿宋" w:eastAsia="仿宋" w:cs="仿宋"/>
          <w:sz w:val="28"/>
          <w:szCs w:val="28"/>
        </w:rPr>
      </w:pPr>
    </w:p>
    <w:p>
      <w:pPr>
        <w:spacing w:line="480" w:lineRule="exact"/>
        <w:rPr>
          <w:rFonts w:eastAsia="仿宋"/>
          <w:sz w:val="28"/>
          <w:lang w:val="zh-CN"/>
        </w:rPr>
      </w:pPr>
    </w:p>
    <w:sectPr>
      <w:headerReference r:id="rId5" w:type="default"/>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GB-2312">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方正小标宋简体">
    <w:altName w:val="宋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480" w:lineRule="exact"/>
      <w:ind w:firstLine="360" w:firstLineChars="200"/>
      <w:jc w:val="left"/>
      <w:rPr>
        <w:rFonts w:eastAsia="仿宋"/>
        <w:sz w:val="18"/>
      </w:rPr>
    </w:pPr>
    <w:r>
      <w:rPr>
        <w:rFonts w:eastAsia="仿宋"/>
        <w:sz w:val="18"/>
      </w:rPr>
      <w:pict>
        <v:shape id="文本框 3074"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path/>
          <v:fill on="f" focussize="0,0"/>
          <v:stroke on="f" weight="0.5pt" joinstyle="miter"/>
          <v:imagedata o:title=""/>
          <o:lock v:ext="edit"/>
          <v:textbox inset="0mm,0mm,0mm,0mm" style="mso-fit-shape-to-text:t;">
            <w:txbxContent>
              <w:p>
                <w:pPr>
                  <w:snapToGrid w:val="0"/>
                  <w:spacing w:line="480" w:lineRule="exact"/>
                  <w:ind w:firstLine="360" w:firstLineChars="200"/>
                  <w:jc w:val="left"/>
                  <w:rPr>
                    <w:rFonts w:eastAsia="仿宋"/>
                    <w:sz w:val="18"/>
                  </w:rPr>
                </w:pPr>
                <w:r>
                  <w:rPr>
                    <w:rFonts w:hint="eastAsia" w:eastAsia="仿宋"/>
                    <w:sz w:val="18"/>
                  </w:rPr>
                  <w:fldChar w:fldCharType="begin"/>
                </w:r>
                <w:r>
                  <w:rPr>
                    <w:rFonts w:hint="eastAsia" w:eastAsia="仿宋"/>
                    <w:sz w:val="18"/>
                  </w:rPr>
                  <w:instrText xml:space="preserve"> PAGE  \* MERGEFORMAT </w:instrText>
                </w:r>
                <w:r>
                  <w:rPr>
                    <w:rFonts w:hint="eastAsia" w:eastAsia="仿宋"/>
                    <w:sz w:val="18"/>
                  </w:rPr>
                  <w:fldChar w:fldCharType="separate"/>
                </w:r>
                <w:r>
                  <w:rPr>
                    <w:rFonts w:eastAsia="仿宋"/>
                    <w:sz w:val="18"/>
                  </w:rPr>
                  <w:t>4</w:t>
                </w:r>
                <w:r>
                  <w:rPr>
                    <w:rFonts w:hint="eastAsia" w:eastAsia="仿宋"/>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513"/>
        <w:tab w:val="clear" w:pos="4153"/>
      </w:tabs>
      <w:ind w:firstLine="360"/>
    </w:pPr>
    <w:r>
      <w:pict>
        <v:shape id="_x0000_s2061" o:spid="_x0000_s206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0"/>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923BBB"/>
    <w:multiLevelType w:val="singleLevel"/>
    <w:tmpl w:val="B1923BBB"/>
    <w:lvl w:ilvl="0" w:tentative="0">
      <w:start w:val="1"/>
      <w:numFmt w:val="decimal"/>
      <w:lvlText w:val="%1."/>
      <w:lvlJc w:val="left"/>
      <w:pPr>
        <w:tabs>
          <w:tab w:val="left" w:pos="312"/>
        </w:tabs>
      </w:pPr>
    </w:lvl>
  </w:abstractNum>
  <w:abstractNum w:abstractNumId="1">
    <w:nsid w:val="10E6879A"/>
    <w:multiLevelType w:val="singleLevel"/>
    <w:tmpl w:val="10E6879A"/>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RkMTY1M2IyNTlkN2U0MDA4MzhmM2QwYTEyYmNjYTYifQ=="/>
  </w:docVars>
  <w:rsids>
    <w:rsidRoot w:val="003829FD"/>
    <w:rsid w:val="0000015F"/>
    <w:rsid w:val="0000030F"/>
    <w:rsid w:val="000125E7"/>
    <w:rsid w:val="00014698"/>
    <w:rsid w:val="00020852"/>
    <w:rsid w:val="000220B5"/>
    <w:rsid w:val="00023AEA"/>
    <w:rsid w:val="000263D8"/>
    <w:rsid w:val="00030422"/>
    <w:rsid w:val="0003694D"/>
    <w:rsid w:val="00043998"/>
    <w:rsid w:val="00044F2A"/>
    <w:rsid w:val="00046BBC"/>
    <w:rsid w:val="00054C09"/>
    <w:rsid w:val="0006132B"/>
    <w:rsid w:val="00063334"/>
    <w:rsid w:val="000654B5"/>
    <w:rsid w:val="00073BFB"/>
    <w:rsid w:val="0007457E"/>
    <w:rsid w:val="00080EB8"/>
    <w:rsid w:val="00083CBA"/>
    <w:rsid w:val="000846A2"/>
    <w:rsid w:val="00087E2D"/>
    <w:rsid w:val="00090285"/>
    <w:rsid w:val="0009039B"/>
    <w:rsid w:val="000923DF"/>
    <w:rsid w:val="00096944"/>
    <w:rsid w:val="00096EED"/>
    <w:rsid w:val="000A071D"/>
    <w:rsid w:val="000A0C54"/>
    <w:rsid w:val="000A372E"/>
    <w:rsid w:val="000B0BA3"/>
    <w:rsid w:val="000B20DB"/>
    <w:rsid w:val="000B2B6C"/>
    <w:rsid w:val="000B2DDC"/>
    <w:rsid w:val="000B3C1B"/>
    <w:rsid w:val="000B65E4"/>
    <w:rsid w:val="000C07B3"/>
    <w:rsid w:val="000C0BAB"/>
    <w:rsid w:val="000C0D33"/>
    <w:rsid w:val="000C3179"/>
    <w:rsid w:val="000C6A59"/>
    <w:rsid w:val="000D0A20"/>
    <w:rsid w:val="000D3FF1"/>
    <w:rsid w:val="000D502C"/>
    <w:rsid w:val="000E0CB2"/>
    <w:rsid w:val="000E1BF8"/>
    <w:rsid w:val="000E4A89"/>
    <w:rsid w:val="000E521F"/>
    <w:rsid w:val="000E5F4B"/>
    <w:rsid w:val="000E7111"/>
    <w:rsid w:val="000E786D"/>
    <w:rsid w:val="000F1246"/>
    <w:rsid w:val="000F43B5"/>
    <w:rsid w:val="000F457C"/>
    <w:rsid w:val="000F519A"/>
    <w:rsid w:val="000F783F"/>
    <w:rsid w:val="00102F88"/>
    <w:rsid w:val="00103F1F"/>
    <w:rsid w:val="001050F9"/>
    <w:rsid w:val="00112BEB"/>
    <w:rsid w:val="001134C9"/>
    <w:rsid w:val="0011727D"/>
    <w:rsid w:val="00117D03"/>
    <w:rsid w:val="001216B1"/>
    <w:rsid w:val="00131DF7"/>
    <w:rsid w:val="0013267B"/>
    <w:rsid w:val="001333F7"/>
    <w:rsid w:val="00135599"/>
    <w:rsid w:val="001409DA"/>
    <w:rsid w:val="00141F3F"/>
    <w:rsid w:val="0014278B"/>
    <w:rsid w:val="00142F60"/>
    <w:rsid w:val="00145B61"/>
    <w:rsid w:val="00150D44"/>
    <w:rsid w:val="001541FA"/>
    <w:rsid w:val="00155686"/>
    <w:rsid w:val="00160622"/>
    <w:rsid w:val="001617A7"/>
    <w:rsid w:val="00165095"/>
    <w:rsid w:val="001652BA"/>
    <w:rsid w:val="00166174"/>
    <w:rsid w:val="0016697F"/>
    <w:rsid w:val="001674A9"/>
    <w:rsid w:val="00167A5E"/>
    <w:rsid w:val="00170A3B"/>
    <w:rsid w:val="00173B7E"/>
    <w:rsid w:val="00181196"/>
    <w:rsid w:val="0018216A"/>
    <w:rsid w:val="00184AEA"/>
    <w:rsid w:val="001869A0"/>
    <w:rsid w:val="00190927"/>
    <w:rsid w:val="0019652C"/>
    <w:rsid w:val="001A0EB2"/>
    <w:rsid w:val="001A19DE"/>
    <w:rsid w:val="001A3C99"/>
    <w:rsid w:val="001B1BC2"/>
    <w:rsid w:val="001B236D"/>
    <w:rsid w:val="001B2956"/>
    <w:rsid w:val="001B4441"/>
    <w:rsid w:val="001B6702"/>
    <w:rsid w:val="001C51F2"/>
    <w:rsid w:val="001C5292"/>
    <w:rsid w:val="001D2205"/>
    <w:rsid w:val="001D25EB"/>
    <w:rsid w:val="001D6F1E"/>
    <w:rsid w:val="001D71E6"/>
    <w:rsid w:val="001E295A"/>
    <w:rsid w:val="001E48A2"/>
    <w:rsid w:val="001F3612"/>
    <w:rsid w:val="001F727F"/>
    <w:rsid w:val="00200A71"/>
    <w:rsid w:val="00204E62"/>
    <w:rsid w:val="00206422"/>
    <w:rsid w:val="00207A50"/>
    <w:rsid w:val="00207E1C"/>
    <w:rsid w:val="00207F68"/>
    <w:rsid w:val="0021384E"/>
    <w:rsid w:val="00215277"/>
    <w:rsid w:val="00221E8A"/>
    <w:rsid w:val="0022237D"/>
    <w:rsid w:val="0022635B"/>
    <w:rsid w:val="002322D8"/>
    <w:rsid w:val="002335D5"/>
    <w:rsid w:val="00234240"/>
    <w:rsid w:val="002349A5"/>
    <w:rsid w:val="002351B9"/>
    <w:rsid w:val="00236040"/>
    <w:rsid w:val="00237C91"/>
    <w:rsid w:val="002410C9"/>
    <w:rsid w:val="00243BB2"/>
    <w:rsid w:val="00244E21"/>
    <w:rsid w:val="002459FA"/>
    <w:rsid w:val="002477FD"/>
    <w:rsid w:val="002505B4"/>
    <w:rsid w:val="00251192"/>
    <w:rsid w:val="00252968"/>
    <w:rsid w:val="00254153"/>
    <w:rsid w:val="00255111"/>
    <w:rsid w:val="002633E1"/>
    <w:rsid w:val="00270CC1"/>
    <w:rsid w:val="002739A3"/>
    <w:rsid w:val="00274325"/>
    <w:rsid w:val="002745D2"/>
    <w:rsid w:val="00275C6A"/>
    <w:rsid w:val="002768D7"/>
    <w:rsid w:val="00276951"/>
    <w:rsid w:val="00276B98"/>
    <w:rsid w:val="002806C0"/>
    <w:rsid w:val="00280C5D"/>
    <w:rsid w:val="002822DF"/>
    <w:rsid w:val="00283F2B"/>
    <w:rsid w:val="00285035"/>
    <w:rsid w:val="0029194D"/>
    <w:rsid w:val="0029198F"/>
    <w:rsid w:val="00292F40"/>
    <w:rsid w:val="00292FCF"/>
    <w:rsid w:val="00293FA0"/>
    <w:rsid w:val="002940E6"/>
    <w:rsid w:val="00294DB7"/>
    <w:rsid w:val="00296E91"/>
    <w:rsid w:val="00296ECA"/>
    <w:rsid w:val="002A0422"/>
    <w:rsid w:val="002A22C6"/>
    <w:rsid w:val="002A381D"/>
    <w:rsid w:val="002A45CA"/>
    <w:rsid w:val="002A70E5"/>
    <w:rsid w:val="002A7857"/>
    <w:rsid w:val="002B1399"/>
    <w:rsid w:val="002B24D9"/>
    <w:rsid w:val="002B2CA6"/>
    <w:rsid w:val="002B769C"/>
    <w:rsid w:val="002C07F3"/>
    <w:rsid w:val="002C4979"/>
    <w:rsid w:val="002C4EB3"/>
    <w:rsid w:val="002D153F"/>
    <w:rsid w:val="002D40A7"/>
    <w:rsid w:val="002D571C"/>
    <w:rsid w:val="002D6CAB"/>
    <w:rsid w:val="002F1A86"/>
    <w:rsid w:val="002F20FA"/>
    <w:rsid w:val="002F371A"/>
    <w:rsid w:val="002F5569"/>
    <w:rsid w:val="002F6DB8"/>
    <w:rsid w:val="00302336"/>
    <w:rsid w:val="00305E98"/>
    <w:rsid w:val="00311B3B"/>
    <w:rsid w:val="00312164"/>
    <w:rsid w:val="0032109A"/>
    <w:rsid w:val="00324348"/>
    <w:rsid w:val="003315AB"/>
    <w:rsid w:val="00334D0B"/>
    <w:rsid w:val="00335AF3"/>
    <w:rsid w:val="00337EAB"/>
    <w:rsid w:val="00342130"/>
    <w:rsid w:val="00343A40"/>
    <w:rsid w:val="003452C9"/>
    <w:rsid w:val="00345520"/>
    <w:rsid w:val="0034724A"/>
    <w:rsid w:val="00352B82"/>
    <w:rsid w:val="0035392F"/>
    <w:rsid w:val="003552AD"/>
    <w:rsid w:val="003607BB"/>
    <w:rsid w:val="003608BE"/>
    <w:rsid w:val="003641DB"/>
    <w:rsid w:val="0036505F"/>
    <w:rsid w:val="00365192"/>
    <w:rsid w:val="003663A4"/>
    <w:rsid w:val="00367A13"/>
    <w:rsid w:val="0037194F"/>
    <w:rsid w:val="003720D2"/>
    <w:rsid w:val="0037259A"/>
    <w:rsid w:val="0037392D"/>
    <w:rsid w:val="00377E20"/>
    <w:rsid w:val="00381BA5"/>
    <w:rsid w:val="003829FD"/>
    <w:rsid w:val="00383F13"/>
    <w:rsid w:val="00385220"/>
    <w:rsid w:val="00386067"/>
    <w:rsid w:val="00387398"/>
    <w:rsid w:val="003A27D0"/>
    <w:rsid w:val="003A2D1D"/>
    <w:rsid w:val="003A3612"/>
    <w:rsid w:val="003A42BC"/>
    <w:rsid w:val="003A4C07"/>
    <w:rsid w:val="003A6B16"/>
    <w:rsid w:val="003A73D7"/>
    <w:rsid w:val="003B0454"/>
    <w:rsid w:val="003B0826"/>
    <w:rsid w:val="003B0F17"/>
    <w:rsid w:val="003B78FA"/>
    <w:rsid w:val="003C2371"/>
    <w:rsid w:val="003C4B14"/>
    <w:rsid w:val="003C6488"/>
    <w:rsid w:val="003C6A7B"/>
    <w:rsid w:val="003D04F8"/>
    <w:rsid w:val="003D1716"/>
    <w:rsid w:val="003D31EC"/>
    <w:rsid w:val="003D5F39"/>
    <w:rsid w:val="003E7615"/>
    <w:rsid w:val="003F2C12"/>
    <w:rsid w:val="003F3741"/>
    <w:rsid w:val="00400251"/>
    <w:rsid w:val="00401259"/>
    <w:rsid w:val="00402244"/>
    <w:rsid w:val="00406D46"/>
    <w:rsid w:val="00407F17"/>
    <w:rsid w:val="004101BE"/>
    <w:rsid w:val="00410C51"/>
    <w:rsid w:val="00411978"/>
    <w:rsid w:val="00414029"/>
    <w:rsid w:val="004143B9"/>
    <w:rsid w:val="004162CB"/>
    <w:rsid w:val="00420604"/>
    <w:rsid w:val="004250FA"/>
    <w:rsid w:val="00431E83"/>
    <w:rsid w:val="0043298B"/>
    <w:rsid w:val="00436EDC"/>
    <w:rsid w:val="0044320A"/>
    <w:rsid w:val="0044497E"/>
    <w:rsid w:val="004450B6"/>
    <w:rsid w:val="00450F61"/>
    <w:rsid w:val="00451C25"/>
    <w:rsid w:val="00455D8E"/>
    <w:rsid w:val="00456CEF"/>
    <w:rsid w:val="00460773"/>
    <w:rsid w:val="004640D1"/>
    <w:rsid w:val="00465CCF"/>
    <w:rsid w:val="00466995"/>
    <w:rsid w:val="0047448C"/>
    <w:rsid w:val="00474938"/>
    <w:rsid w:val="0047667A"/>
    <w:rsid w:val="00480287"/>
    <w:rsid w:val="00480B70"/>
    <w:rsid w:val="00484609"/>
    <w:rsid w:val="0048462E"/>
    <w:rsid w:val="00485E1A"/>
    <w:rsid w:val="00486859"/>
    <w:rsid w:val="004871AA"/>
    <w:rsid w:val="00487990"/>
    <w:rsid w:val="00487A46"/>
    <w:rsid w:val="0049192A"/>
    <w:rsid w:val="00491D99"/>
    <w:rsid w:val="004935DA"/>
    <w:rsid w:val="004960EF"/>
    <w:rsid w:val="004976D8"/>
    <w:rsid w:val="00497843"/>
    <w:rsid w:val="004A184B"/>
    <w:rsid w:val="004A1907"/>
    <w:rsid w:val="004A7D6D"/>
    <w:rsid w:val="004B0962"/>
    <w:rsid w:val="004B178E"/>
    <w:rsid w:val="004B3CFB"/>
    <w:rsid w:val="004B5598"/>
    <w:rsid w:val="004C20EB"/>
    <w:rsid w:val="004C7ED1"/>
    <w:rsid w:val="004D243E"/>
    <w:rsid w:val="004D44E3"/>
    <w:rsid w:val="004D7FA7"/>
    <w:rsid w:val="004E0372"/>
    <w:rsid w:val="004E1745"/>
    <w:rsid w:val="004E3681"/>
    <w:rsid w:val="004F06ED"/>
    <w:rsid w:val="004F0D1C"/>
    <w:rsid w:val="004F533E"/>
    <w:rsid w:val="004F758A"/>
    <w:rsid w:val="00505C69"/>
    <w:rsid w:val="005062C2"/>
    <w:rsid w:val="005067B6"/>
    <w:rsid w:val="00506836"/>
    <w:rsid w:val="0051038F"/>
    <w:rsid w:val="00510784"/>
    <w:rsid w:val="00510D5F"/>
    <w:rsid w:val="00514E1F"/>
    <w:rsid w:val="00516232"/>
    <w:rsid w:val="00520DD3"/>
    <w:rsid w:val="00521CF7"/>
    <w:rsid w:val="00523BC4"/>
    <w:rsid w:val="00523E72"/>
    <w:rsid w:val="00527AA8"/>
    <w:rsid w:val="0053086E"/>
    <w:rsid w:val="00534014"/>
    <w:rsid w:val="0053468D"/>
    <w:rsid w:val="00535AFD"/>
    <w:rsid w:val="00536136"/>
    <w:rsid w:val="005370CE"/>
    <w:rsid w:val="00541482"/>
    <w:rsid w:val="00543CF1"/>
    <w:rsid w:val="00545CFD"/>
    <w:rsid w:val="005504BB"/>
    <w:rsid w:val="005515E5"/>
    <w:rsid w:val="00553166"/>
    <w:rsid w:val="0055328C"/>
    <w:rsid w:val="00554C9A"/>
    <w:rsid w:val="00557116"/>
    <w:rsid w:val="00561C15"/>
    <w:rsid w:val="00571ABE"/>
    <w:rsid w:val="00572C2D"/>
    <w:rsid w:val="00572CF3"/>
    <w:rsid w:val="0057470D"/>
    <w:rsid w:val="005807AE"/>
    <w:rsid w:val="00591289"/>
    <w:rsid w:val="005A0654"/>
    <w:rsid w:val="005A238D"/>
    <w:rsid w:val="005A3397"/>
    <w:rsid w:val="005A629D"/>
    <w:rsid w:val="005B0307"/>
    <w:rsid w:val="005B1719"/>
    <w:rsid w:val="005B52BD"/>
    <w:rsid w:val="005C0D9D"/>
    <w:rsid w:val="005C20ED"/>
    <w:rsid w:val="005C361A"/>
    <w:rsid w:val="005C533A"/>
    <w:rsid w:val="005C6C74"/>
    <w:rsid w:val="005D00B4"/>
    <w:rsid w:val="005D0890"/>
    <w:rsid w:val="005D6A8B"/>
    <w:rsid w:val="005E0BE6"/>
    <w:rsid w:val="005E2762"/>
    <w:rsid w:val="005E3067"/>
    <w:rsid w:val="005F1758"/>
    <w:rsid w:val="005F2840"/>
    <w:rsid w:val="005F4AE7"/>
    <w:rsid w:val="005F6A32"/>
    <w:rsid w:val="005F72AA"/>
    <w:rsid w:val="005F7421"/>
    <w:rsid w:val="00601B07"/>
    <w:rsid w:val="00605704"/>
    <w:rsid w:val="00610C53"/>
    <w:rsid w:val="00613CE5"/>
    <w:rsid w:val="00616ADB"/>
    <w:rsid w:val="00616D4B"/>
    <w:rsid w:val="00617282"/>
    <w:rsid w:val="00623D40"/>
    <w:rsid w:val="00627EDE"/>
    <w:rsid w:val="006307F9"/>
    <w:rsid w:val="00631836"/>
    <w:rsid w:val="00631C15"/>
    <w:rsid w:val="00632409"/>
    <w:rsid w:val="0063249A"/>
    <w:rsid w:val="006325AB"/>
    <w:rsid w:val="0063303C"/>
    <w:rsid w:val="00633085"/>
    <w:rsid w:val="006332CD"/>
    <w:rsid w:val="00634DA9"/>
    <w:rsid w:val="006357B5"/>
    <w:rsid w:val="00635C46"/>
    <w:rsid w:val="00640713"/>
    <w:rsid w:val="00641CC1"/>
    <w:rsid w:val="006454DC"/>
    <w:rsid w:val="006567B5"/>
    <w:rsid w:val="00662031"/>
    <w:rsid w:val="006645C6"/>
    <w:rsid w:val="00666909"/>
    <w:rsid w:val="00666C03"/>
    <w:rsid w:val="00674696"/>
    <w:rsid w:val="006747CD"/>
    <w:rsid w:val="00677F2A"/>
    <w:rsid w:val="00684550"/>
    <w:rsid w:val="00686EB0"/>
    <w:rsid w:val="006875AB"/>
    <w:rsid w:val="0069116E"/>
    <w:rsid w:val="006912E9"/>
    <w:rsid w:val="0069142B"/>
    <w:rsid w:val="00692CF7"/>
    <w:rsid w:val="0069498F"/>
    <w:rsid w:val="00696891"/>
    <w:rsid w:val="0069700B"/>
    <w:rsid w:val="006A0BA7"/>
    <w:rsid w:val="006A52A9"/>
    <w:rsid w:val="006B03D9"/>
    <w:rsid w:val="006B2721"/>
    <w:rsid w:val="006B308E"/>
    <w:rsid w:val="006C047F"/>
    <w:rsid w:val="006C3A10"/>
    <w:rsid w:val="006D0077"/>
    <w:rsid w:val="006D074D"/>
    <w:rsid w:val="006D0E5F"/>
    <w:rsid w:val="006D1D02"/>
    <w:rsid w:val="006D225A"/>
    <w:rsid w:val="006D3B26"/>
    <w:rsid w:val="006D3DC2"/>
    <w:rsid w:val="006D42DA"/>
    <w:rsid w:val="006E11B6"/>
    <w:rsid w:val="006E5EE2"/>
    <w:rsid w:val="006E6B65"/>
    <w:rsid w:val="006F0A59"/>
    <w:rsid w:val="006F371D"/>
    <w:rsid w:val="006F5047"/>
    <w:rsid w:val="006F53B1"/>
    <w:rsid w:val="006F67E3"/>
    <w:rsid w:val="006F6893"/>
    <w:rsid w:val="006F796C"/>
    <w:rsid w:val="00700CBE"/>
    <w:rsid w:val="00700F4B"/>
    <w:rsid w:val="0070228C"/>
    <w:rsid w:val="007023D9"/>
    <w:rsid w:val="00702890"/>
    <w:rsid w:val="00704881"/>
    <w:rsid w:val="00714CB9"/>
    <w:rsid w:val="00715A39"/>
    <w:rsid w:val="00720DB1"/>
    <w:rsid w:val="007213A4"/>
    <w:rsid w:val="00734113"/>
    <w:rsid w:val="00741A9E"/>
    <w:rsid w:val="00750BAC"/>
    <w:rsid w:val="00753510"/>
    <w:rsid w:val="0075565E"/>
    <w:rsid w:val="00755CB4"/>
    <w:rsid w:val="007574D9"/>
    <w:rsid w:val="0076033C"/>
    <w:rsid w:val="007603EB"/>
    <w:rsid w:val="00763831"/>
    <w:rsid w:val="00766975"/>
    <w:rsid w:val="00771F11"/>
    <w:rsid w:val="00772907"/>
    <w:rsid w:val="0077465B"/>
    <w:rsid w:val="00774DD5"/>
    <w:rsid w:val="00781A2D"/>
    <w:rsid w:val="00782718"/>
    <w:rsid w:val="00783D04"/>
    <w:rsid w:val="0078520F"/>
    <w:rsid w:val="00787A20"/>
    <w:rsid w:val="00790E85"/>
    <w:rsid w:val="007929AF"/>
    <w:rsid w:val="007937BB"/>
    <w:rsid w:val="0079401C"/>
    <w:rsid w:val="007940A6"/>
    <w:rsid w:val="007A00F1"/>
    <w:rsid w:val="007A067C"/>
    <w:rsid w:val="007A0A30"/>
    <w:rsid w:val="007A1745"/>
    <w:rsid w:val="007A22D4"/>
    <w:rsid w:val="007A3BF0"/>
    <w:rsid w:val="007A4C15"/>
    <w:rsid w:val="007B0103"/>
    <w:rsid w:val="007B480F"/>
    <w:rsid w:val="007B5AA8"/>
    <w:rsid w:val="007C0A6E"/>
    <w:rsid w:val="007C3701"/>
    <w:rsid w:val="007C3981"/>
    <w:rsid w:val="007C3CF4"/>
    <w:rsid w:val="007C7D5D"/>
    <w:rsid w:val="007D04A7"/>
    <w:rsid w:val="007E20A2"/>
    <w:rsid w:val="007E21E1"/>
    <w:rsid w:val="007E3EC9"/>
    <w:rsid w:val="007E5D7D"/>
    <w:rsid w:val="007E62B3"/>
    <w:rsid w:val="007E749B"/>
    <w:rsid w:val="007E7F72"/>
    <w:rsid w:val="007F077B"/>
    <w:rsid w:val="007F2F94"/>
    <w:rsid w:val="007F3107"/>
    <w:rsid w:val="00800670"/>
    <w:rsid w:val="008017F7"/>
    <w:rsid w:val="008019B9"/>
    <w:rsid w:val="00802DEF"/>
    <w:rsid w:val="00803DD3"/>
    <w:rsid w:val="0080476E"/>
    <w:rsid w:val="00804B3C"/>
    <w:rsid w:val="00806B16"/>
    <w:rsid w:val="008127DD"/>
    <w:rsid w:val="0081346B"/>
    <w:rsid w:val="00820083"/>
    <w:rsid w:val="0082037A"/>
    <w:rsid w:val="008275A5"/>
    <w:rsid w:val="00831FAB"/>
    <w:rsid w:val="00837248"/>
    <w:rsid w:val="0084372E"/>
    <w:rsid w:val="00851EF3"/>
    <w:rsid w:val="008535DA"/>
    <w:rsid w:val="00854977"/>
    <w:rsid w:val="00855006"/>
    <w:rsid w:val="008554CA"/>
    <w:rsid w:val="008609FC"/>
    <w:rsid w:val="00861864"/>
    <w:rsid w:val="0086224E"/>
    <w:rsid w:val="00866375"/>
    <w:rsid w:val="00867785"/>
    <w:rsid w:val="008704E0"/>
    <w:rsid w:val="00870862"/>
    <w:rsid w:val="00876491"/>
    <w:rsid w:val="00880DB9"/>
    <w:rsid w:val="00887779"/>
    <w:rsid w:val="008951A6"/>
    <w:rsid w:val="00897349"/>
    <w:rsid w:val="008A0BA9"/>
    <w:rsid w:val="008A14E8"/>
    <w:rsid w:val="008A170B"/>
    <w:rsid w:val="008A413A"/>
    <w:rsid w:val="008A6A2B"/>
    <w:rsid w:val="008A6BE5"/>
    <w:rsid w:val="008A7160"/>
    <w:rsid w:val="008B0103"/>
    <w:rsid w:val="008B1BEF"/>
    <w:rsid w:val="008B2BFA"/>
    <w:rsid w:val="008B4D68"/>
    <w:rsid w:val="008B68C6"/>
    <w:rsid w:val="008C4575"/>
    <w:rsid w:val="008C56ED"/>
    <w:rsid w:val="008D16C9"/>
    <w:rsid w:val="008D3D8D"/>
    <w:rsid w:val="008D4F80"/>
    <w:rsid w:val="008F1566"/>
    <w:rsid w:val="008F215A"/>
    <w:rsid w:val="008F3BE1"/>
    <w:rsid w:val="008F5982"/>
    <w:rsid w:val="008F5F8E"/>
    <w:rsid w:val="009004AF"/>
    <w:rsid w:val="00900DD8"/>
    <w:rsid w:val="009015B6"/>
    <w:rsid w:val="00901FEE"/>
    <w:rsid w:val="009048DA"/>
    <w:rsid w:val="009074B4"/>
    <w:rsid w:val="00907C16"/>
    <w:rsid w:val="009113B2"/>
    <w:rsid w:val="00912DB6"/>
    <w:rsid w:val="00913359"/>
    <w:rsid w:val="00914263"/>
    <w:rsid w:val="009178BB"/>
    <w:rsid w:val="00917F0A"/>
    <w:rsid w:val="009201F1"/>
    <w:rsid w:val="00921C48"/>
    <w:rsid w:val="00927CC3"/>
    <w:rsid w:val="00932042"/>
    <w:rsid w:val="00934619"/>
    <w:rsid w:val="00934B08"/>
    <w:rsid w:val="00935664"/>
    <w:rsid w:val="00936E04"/>
    <w:rsid w:val="00937FCE"/>
    <w:rsid w:val="00950064"/>
    <w:rsid w:val="009504B6"/>
    <w:rsid w:val="009513BF"/>
    <w:rsid w:val="00954854"/>
    <w:rsid w:val="0095672D"/>
    <w:rsid w:val="00957B53"/>
    <w:rsid w:val="00963B32"/>
    <w:rsid w:val="00963F94"/>
    <w:rsid w:val="00964168"/>
    <w:rsid w:val="009662FD"/>
    <w:rsid w:val="00966F05"/>
    <w:rsid w:val="00967F10"/>
    <w:rsid w:val="00973848"/>
    <w:rsid w:val="009777FC"/>
    <w:rsid w:val="00980F6A"/>
    <w:rsid w:val="009814B9"/>
    <w:rsid w:val="00985660"/>
    <w:rsid w:val="009945F5"/>
    <w:rsid w:val="009A0097"/>
    <w:rsid w:val="009A2191"/>
    <w:rsid w:val="009B16B6"/>
    <w:rsid w:val="009B35BF"/>
    <w:rsid w:val="009B37EC"/>
    <w:rsid w:val="009B3AEF"/>
    <w:rsid w:val="009B52DD"/>
    <w:rsid w:val="009B6533"/>
    <w:rsid w:val="009B7B50"/>
    <w:rsid w:val="009B7FAF"/>
    <w:rsid w:val="009C4C60"/>
    <w:rsid w:val="009C5182"/>
    <w:rsid w:val="009D0D32"/>
    <w:rsid w:val="009D709F"/>
    <w:rsid w:val="009D755E"/>
    <w:rsid w:val="009E3A9C"/>
    <w:rsid w:val="009F14E2"/>
    <w:rsid w:val="009F3F00"/>
    <w:rsid w:val="009F4746"/>
    <w:rsid w:val="009F54FF"/>
    <w:rsid w:val="009F7187"/>
    <w:rsid w:val="00A01195"/>
    <w:rsid w:val="00A0254E"/>
    <w:rsid w:val="00A0322F"/>
    <w:rsid w:val="00A05273"/>
    <w:rsid w:val="00A05AA7"/>
    <w:rsid w:val="00A0634C"/>
    <w:rsid w:val="00A1068C"/>
    <w:rsid w:val="00A10819"/>
    <w:rsid w:val="00A11B55"/>
    <w:rsid w:val="00A142B0"/>
    <w:rsid w:val="00A14D51"/>
    <w:rsid w:val="00A16827"/>
    <w:rsid w:val="00A17265"/>
    <w:rsid w:val="00A176E5"/>
    <w:rsid w:val="00A24C32"/>
    <w:rsid w:val="00A27D55"/>
    <w:rsid w:val="00A30073"/>
    <w:rsid w:val="00A316AA"/>
    <w:rsid w:val="00A33293"/>
    <w:rsid w:val="00A3732F"/>
    <w:rsid w:val="00A41A7E"/>
    <w:rsid w:val="00A41EE9"/>
    <w:rsid w:val="00A44EDD"/>
    <w:rsid w:val="00A47350"/>
    <w:rsid w:val="00A506DB"/>
    <w:rsid w:val="00A5128A"/>
    <w:rsid w:val="00A516D7"/>
    <w:rsid w:val="00A51A8B"/>
    <w:rsid w:val="00A5443A"/>
    <w:rsid w:val="00A55576"/>
    <w:rsid w:val="00A56A5C"/>
    <w:rsid w:val="00A57629"/>
    <w:rsid w:val="00A63644"/>
    <w:rsid w:val="00A6532E"/>
    <w:rsid w:val="00A66BB3"/>
    <w:rsid w:val="00A66EB3"/>
    <w:rsid w:val="00A67CA5"/>
    <w:rsid w:val="00A7028D"/>
    <w:rsid w:val="00A71E0A"/>
    <w:rsid w:val="00A744C5"/>
    <w:rsid w:val="00A771D9"/>
    <w:rsid w:val="00A77F43"/>
    <w:rsid w:val="00A86D4C"/>
    <w:rsid w:val="00A90089"/>
    <w:rsid w:val="00A925E7"/>
    <w:rsid w:val="00A929AE"/>
    <w:rsid w:val="00A9690F"/>
    <w:rsid w:val="00A97025"/>
    <w:rsid w:val="00A972E4"/>
    <w:rsid w:val="00AA419F"/>
    <w:rsid w:val="00AA5CE1"/>
    <w:rsid w:val="00AA62AA"/>
    <w:rsid w:val="00AA782E"/>
    <w:rsid w:val="00AB22F6"/>
    <w:rsid w:val="00AB305B"/>
    <w:rsid w:val="00AB6893"/>
    <w:rsid w:val="00AC0095"/>
    <w:rsid w:val="00AC06C5"/>
    <w:rsid w:val="00AC31E4"/>
    <w:rsid w:val="00AC6A30"/>
    <w:rsid w:val="00AC6F75"/>
    <w:rsid w:val="00AC78DF"/>
    <w:rsid w:val="00AD0FCA"/>
    <w:rsid w:val="00AD13A4"/>
    <w:rsid w:val="00AD2BF1"/>
    <w:rsid w:val="00AD6238"/>
    <w:rsid w:val="00AD6443"/>
    <w:rsid w:val="00AD7387"/>
    <w:rsid w:val="00AD7EB1"/>
    <w:rsid w:val="00AE1E02"/>
    <w:rsid w:val="00AE21C0"/>
    <w:rsid w:val="00AE5107"/>
    <w:rsid w:val="00AE5F63"/>
    <w:rsid w:val="00AE6A26"/>
    <w:rsid w:val="00AF1BE4"/>
    <w:rsid w:val="00AF3576"/>
    <w:rsid w:val="00AF73B9"/>
    <w:rsid w:val="00AF7D32"/>
    <w:rsid w:val="00B02A7B"/>
    <w:rsid w:val="00B06751"/>
    <w:rsid w:val="00B07500"/>
    <w:rsid w:val="00B12555"/>
    <w:rsid w:val="00B132BB"/>
    <w:rsid w:val="00B17000"/>
    <w:rsid w:val="00B201B3"/>
    <w:rsid w:val="00B20746"/>
    <w:rsid w:val="00B30CE5"/>
    <w:rsid w:val="00B34D69"/>
    <w:rsid w:val="00B353B4"/>
    <w:rsid w:val="00B44C72"/>
    <w:rsid w:val="00B46BB6"/>
    <w:rsid w:val="00B533D9"/>
    <w:rsid w:val="00B5668B"/>
    <w:rsid w:val="00B571A5"/>
    <w:rsid w:val="00B575CC"/>
    <w:rsid w:val="00B6015A"/>
    <w:rsid w:val="00B63FAC"/>
    <w:rsid w:val="00B643C4"/>
    <w:rsid w:val="00B64C40"/>
    <w:rsid w:val="00B6709D"/>
    <w:rsid w:val="00B70F24"/>
    <w:rsid w:val="00B7364E"/>
    <w:rsid w:val="00B74106"/>
    <w:rsid w:val="00B758A8"/>
    <w:rsid w:val="00B81D68"/>
    <w:rsid w:val="00B85B0D"/>
    <w:rsid w:val="00B863D0"/>
    <w:rsid w:val="00B8655C"/>
    <w:rsid w:val="00B91459"/>
    <w:rsid w:val="00B91B70"/>
    <w:rsid w:val="00B942DD"/>
    <w:rsid w:val="00BA1841"/>
    <w:rsid w:val="00BA211D"/>
    <w:rsid w:val="00BA6579"/>
    <w:rsid w:val="00BA6588"/>
    <w:rsid w:val="00BA6782"/>
    <w:rsid w:val="00BB18EC"/>
    <w:rsid w:val="00BB60ED"/>
    <w:rsid w:val="00BB7E9D"/>
    <w:rsid w:val="00BC373D"/>
    <w:rsid w:val="00BD3B70"/>
    <w:rsid w:val="00BD7020"/>
    <w:rsid w:val="00BD7D95"/>
    <w:rsid w:val="00BE1744"/>
    <w:rsid w:val="00BE2158"/>
    <w:rsid w:val="00BE5D45"/>
    <w:rsid w:val="00BE626E"/>
    <w:rsid w:val="00BF1C5A"/>
    <w:rsid w:val="00BF4005"/>
    <w:rsid w:val="00BF6EB9"/>
    <w:rsid w:val="00C00038"/>
    <w:rsid w:val="00C029F8"/>
    <w:rsid w:val="00C03A85"/>
    <w:rsid w:val="00C07393"/>
    <w:rsid w:val="00C168FC"/>
    <w:rsid w:val="00C172A0"/>
    <w:rsid w:val="00C203E0"/>
    <w:rsid w:val="00C25D50"/>
    <w:rsid w:val="00C264F6"/>
    <w:rsid w:val="00C318E0"/>
    <w:rsid w:val="00C32814"/>
    <w:rsid w:val="00C336AD"/>
    <w:rsid w:val="00C40F5C"/>
    <w:rsid w:val="00C418C9"/>
    <w:rsid w:val="00C422EB"/>
    <w:rsid w:val="00C4544D"/>
    <w:rsid w:val="00C52345"/>
    <w:rsid w:val="00C528AE"/>
    <w:rsid w:val="00C52D14"/>
    <w:rsid w:val="00C53CCE"/>
    <w:rsid w:val="00C57030"/>
    <w:rsid w:val="00C6039F"/>
    <w:rsid w:val="00C60846"/>
    <w:rsid w:val="00C60DE5"/>
    <w:rsid w:val="00C61261"/>
    <w:rsid w:val="00C6178B"/>
    <w:rsid w:val="00C629AD"/>
    <w:rsid w:val="00C64DFE"/>
    <w:rsid w:val="00C7646F"/>
    <w:rsid w:val="00C77BD1"/>
    <w:rsid w:val="00C833CD"/>
    <w:rsid w:val="00C838C5"/>
    <w:rsid w:val="00C84811"/>
    <w:rsid w:val="00C866BD"/>
    <w:rsid w:val="00C92931"/>
    <w:rsid w:val="00C92970"/>
    <w:rsid w:val="00CA0A1D"/>
    <w:rsid w:val="00CA33C1"/>
    <w:rsid w:val="00CA3A89"/>
    <w:rsid w:val="00CA3EAC"/>
    <w:rsid w:val="00CA62AA"/>
    <w:rsid w:val="00CB068B"/>
    <w:rsid w:val="00CB06FA"/>
    <w:rsid w:val="00CB167B"/>
    <w:rsid w:val="00CB3945"/>
    <w:rsid w:val="00CB3C8A"/>
    <w:rsid w:val="00CB502C"/>
    <w:rsid w:val="00CC2012"/>
    <w:rsid w:val="00CC2A1D"/>
    <w:rsid w:val="00CC3BFA"/>
    <w:rsid w:val="00CC4291"/>
    <w:rsid w:val="00CC60C3"/>
    <w:rsid w:val="00CC6627"/>
    <w:rsid w:val="00CC6DC2"/>
    <w:rsid w:val="00CC6EFC"/>
    <w:rsid w:val="00CD1BDA"/>
    <w:rsid w:val="00CD37C5"/>
    <w:rsid w:val="00CD4E88"/>
    <w:rsid w:val="00CD783A"/>
    <w:rsid w:val="00CF1645"/>
    <w:rsid w:val="00CF1BA9"/>
    <w:rsid w:val="00CF2B0A"/>
    <w:rsid w:val="00CF4A11"/>
    <w:rsid w:val="00CF634C"/>
    <w:rsid w:val="00CF7975"/>
    <w:rsid w:val="00D019B2"/>
    <w:rsid w:val="00D04EE0"/>
    <w:rsid w:val="00D06ABD"/>
    <w:rsid w:val="00D07952"/>
    <w:rsid w:val="00D105D2"/>
    <w:rsid w:val="00D13C04"/>
    <w:rsid w:val="00D2043B"/>
    <w:rsid w:val="00D21FC9"/>
    <w:rsid w:val="00D221C4"/>
    <w:rsid w:val="00D2356D"/>
    <w:rsid w:val="00D2523F"/>
    <w:rsid w:val="00D26A3A"/>
    <w:rsid w:val="00D303BC"/>
    <w:rsid w:val="00D307CC"/>
    <w:rsid w:val="00D317C5"/>
    <w:rsid w:val="00D31C09"/>
    <w:rsid w:val="00D331F8"/>
    <w:rsid w:val="00D3681B"/>
    <w:rsid w:val="00D407E4"/>
    <w:rsid w:val="00D412F8"/>
    <w:rsid w:val="00D41957"/>
    <w:rsid w:val="00D43835"/>
    <w:rsid w:val="00D4754A"/>
    <w:rsid w:val="00D51965"/>
    <w:rsid w:val="00D5457A"/>
    <w:rsid w:val="00D605A9"/>
    <w:rsid w:val="00D62A0B"/>
    <w:rsid w:val="00D63A70"/>
    <w:rsid w:val="00D6691C"/>
    <w:rsid w:val="00D6707A"/>
    <w:rsid w:val="00D70355"/>
    <w:rsid w:val="00D716DE"/>
    <w:rsid w:val="00D73FF5"/>
    <w:rsid w:val="00D74471"/>
    <w:rsid w:val="00D8260F"/>
    <w:rsid w:val="00D869AE"/>
    <w:rsid w:val="00D873AE"/>
    <w:rsid w:val="00D8795D"/>
    <w:rsid w:val="00D92EEF"/>
    <w:rsid w:val="00D951A2"/>
    <w:rsid w:val="00D96986"/>
    <w:rsid w:val="00D97CA9"/>
    <w:rsid w:val="00DA0817"/>
    <w:rsid w:val="00DA520E"/>
    <w:rsid w:val="00DA59FA"/>
    <w:rsid w:val="00DA6FD3"/>
    <w:rsid w:val="00DA7820"/>
    <w:rsid w:val="00DB2341"/>
    <w:rsid w:val="00DB48A7"/>
    <w:rsid w:val="00DB6A31"/>
    <w:rsid w:val="00DC4B95"/>
    <w:rsid w:val="00DC4C59"/>
    <w:rsid w:val="00DC53DA"/>
    <w:rsid w:val="00DC642F"/>
    <w:rsid w:val="00DC6C64"/>
    <w:rsid w:val="00DC78A9"/>
    <w:rsid w:val="00DD0AB7"/>
    <w:rsid w:val="00DD21AD"/>
    <w:rsid w:val="00DD43B3"/>
    <w:rsid w:val="00DD5534"/>
    <w:rsid w:val="00DE2F80"/>
    <w:rsid w:val="00DE54C0"/>
    <w:rsid w:val="00DE5A24"/>
    <w:rsid w:val="00DE5FFF"/>
    <w:rsid w:val="00DE732F"/>
    <w:rsid w:val="00DE7DDE"/>
    <w:rsid w:val="00DF0997"/>
    <w:rsid w:val="00DF1A25"/>
    <w:rsid w:val="00DF784F"/>
    <w:rsid w:val="00E01E6C"/>
    <w:rsid w:val="00E0267F"/>
    <w:rsid w:val="00E05FAA"/>
    <w:rsid w:val="00E104A6"/>
    <w:rsid w:val="00E128BA"/>
    <w:rsid w:val="00E1438A"/>
    <w:rsid w:val="00E15357"/>
    <w:rsid w:val="00E15BC7"/>
    <w:rsid w:val="00E17857"/>
    <w:rsid w:val="00E17C5D"/>
    <w:rsid w:val="00E20266"/>
    <w:rsid w:val="00E20C0D"/>
    <w:rsid w:val="00E2114F"/>
    <w:rsid w:val="00E212B3"/>
    <w:rsid w:val="00E2148C"/>
    <w:rsid w:val="00E2380D"/>
    <w:rsid w:val="00E30EEE"/>
    <w:rsid w:val="00E31950"/>
    <w:rsid w:val="00E33ABC"/>
    <w:rsid w:val="00E34784"/>
    <w:rsid w:val="00E36660"/>
    <w:rsid w:val="00E36DFF"/>
    <w:rsid w:val="00E36FE6"/>
    <w:rsid w:val="00E37910"/>
    <w:rsid w:val="00E40569"/>
    <w:rsid w:val="00E4169C"/>
    <w:rsid w:val="00E429B5"/>
    <w:rsid w:val="00E46A81"/>
    <w:rsid w:val="00E50726"/>
    <w:rsid w:val="00E51360"/>
    <w:rsid w:val="00E52D35"/>
    <w:rsid w:val="00E54377"/>
    <w:rsid w:val="00E54FE1"/>
    <w:rsid w:val="00E607F0"/>
    <w:rsid w:val="00E62475"/>
    <w:rsid w:val="00E62614"/>
    <w:rsid w:val="00E630BE"/>
    <w:rsid w:val="00E63194"/>
    <w:rsid w:val="00E63F25"/>
    <w:rsid w:val="00E6441A"/>
    <w:rsid w:val="00E6530B"/>
    <w:rsid w:val="00E6744A"/>
    <w:rsid w:val="00E71EB2"/>
    <w:rsid w:val="00E732D9"/>
    <w:rsid w:val="00E772C0"/>
    <w:rsid w:val="00E77A86"/>
    <w:rsid w:val="00E77B9D"/>
    <w:rsid w:val="00E8142A"/>
    <w:rsid w:val="00E82068"/>
    <w:rsid w:val="00E83165"/>
    <w:rsid w:val="00E832D5"/>
    <w:rsid w:val="00E852E9"/>
    <w:rsid w:val="00E85AAB"/>
    <w:rsid w:val="00E85C96"/>
    <w:rsid w:val="00E902EA"/>
    <w:rsid w:val="00E9162A"/>
    <w:rsid w:val="00E960D4"/>
    <w:rsid w:val="00EA5FAF"/>
    <w:rsid w:val="00EA6B60"/>
    <w:rsid w:val="00EB3507"/>
    <w:rsid w:val="00EB376A"/>
    <w:rsid w:val="00EB3E08"/>
    <w:rsid w:val="00EB771B"/>
    <w:rsid w:val="00EC060F"/>
    <w:rsid w:val="00EC2BDB"/>
    <w:rsid w:val="00ED4B01"/>
    <w:rsid w:val="00EE0A6C"/>
    <w:rsid w:val="00EE1F33"/>
    <w:rsid w:val="00EE29CE"/>
    <w:rsid w:val="00EE302F"/>
    <w:rsid w:val="00EE6439"/>
    <w:rsid w:val="00EE6DEB"/>
    <w:rsid w:val="00EE7DF9"/>
    <w:rsid w:val="00EF4748"/>
    <w:rsid w:val="00EF680F"/>
    <w:rsid w:val="00F07476"/>
    <w:rsid w:val="00F10534"/>
    <w:rsid w:val="00F114E1"/>
    <w:rsid w:val="00F116EC"/>
    <w:rsid w:val="00F12437"/>
    <w:rsid w:val="00F12BE2"/>
    <w:rsid w:val="00F12C31"/>
    <w:rsid w:val="00F15B64"/>
    <w:rsid w:val="00F233A2"/>
    <w:rsid w:val="00F250B3"/>
    <w:rsid w:val="00F258EB"/>
    <w:rsid w:val="00F26FA4"/>
    <w:rsid w:val="00F3478B"/>
    <w:rsid w:val="00F37AD3"/>
    <w:rsid w:val="00F4127C"/>
    <w:rsid w:val="00F44A99"/>
    <w:rsid w:val="00F44C52"/>
    <w:rsid w:val="00F5280B"/>
    <w:rsid w:val="00F53711"/>
    <w:rsid w:val="00F62CCC"/>
    <w:rsid w:val="00F659FD"/>
    <w:rsid w:val="00F67B66"/>
    <w:rsid w:val="00F7384B"/>
    <w:rsid w:val="00F77DD6"/>
    <w:rsid w:val="00F82457"/>
    <w:rsid w:val="00F863FC"/>
    <w:rsid w:val="00F86EF0"/>
    <w:rsid w:val="00F94AE8"/>
    <w:rsid w:val="00F95179"/>
    <w:rsid w:val="00F9520E"/>
    <w:rsid w:val="00F97E0B"/>
    <w:rsid w:val="00FA20DB"/>
    <w:rsid w:val="00FA2DFD"/>
    <w:rsid w:val="00FA4541"/>
    <w:rsid w:val="00FA4AA0"/>
    <w:rsid w:val="00FA7C78"/>
    <w:rsid w:val="00FB4068"/>
    <w:rsid w:val="00FB5218"/>
    <w:rsid w:val="00FB65D3"/>
    <w:rsid w:val="00FB6A6C"/>
    <w:rsid w:val="00FB7507"/>
    <w:rsid w:val="00FC1A06"/>
    <w:rsid w:val="00FC3BF2"/>
    <w:rsid w:val="00FC6232"/>
    <w:rsid w:val="00FC7115"/>
    <w:rsid w:val="00FD1445"/>
    <w:rsid w:val="00FD4CEA"/>
    <w:rsid w:val="00FD5054"/>
    <w:rsid w:val="00FD59AA"/>
    <w:rsid w:val="00FE1352"/>
    <w:rsid w:val="00FE22A9"/>
    <w:rsid w:val="00FE2D70"/>
    <w:rsid w:val="00FE2EE6"/>
    <w:rsid w:val="00FE4C22"/>
    <w:rsid w:val="00FE5938"/>
    <w:rsid w:val="00FF1A7A"/>
    <w:rsid w:val="00FF2A3D"/>
    <w:rsid w:val="00FF3319"/>
    <w:rsid w:val="011844F3"/>
    <w:rsid w:val="015F628B"/>
    <w:rsid w:val="016E7C74"/>
    <w:rsid w:val="01B14DD4"/>
    <w:rsid w:val="01E359CE"/>
    <w:rsid w:val="01E73E29"/>
    <w:rsid w:val="01F67992"/>
    <w:rsid w:val="020425AA"/>
    <w:rsid w:val="021C3EA0"/>
    <w:rsid w:val="02506BFD"/>
    <w:rsid w:val="027C37C1"/>
    <w:rsid w:val="028B737A"/>
    <w:rsid w:val="02A11BDC"/>
    <w:rsid w:val="02BA77FA"/>
    <w:rsid w:val="02C40882"/>
    <w:rsid w:val="02CE0843"/>
    <w:rsid w:val="0324007C"/>
    <w:rsid w:val="03632605"/>
    <w:rsid w:val="036705BB"/>
    <w:rsid w:val="03723EE1"/>
    <w:rsid w:val="03837C36"/>
    <w:rsid w:val="038B3FEC"/>
    <w:rsid w:val="03986D80"/>
    <w:rsid w:val="03B31BAE"/>
    <w:rsid w:val="03BB69A1"/>
    <w:rsid w:val="04683A7B"/>
    <w:rsid w:val="04B85330"/>
    <w:rsid w:val="04F10C9C"/>
    <w:rsid w:val="04F8377C"/>
    <w:rsid w:val="05093611"/>
    <w:rsid w:val="05103A4E"/>
    <w:rsid w:val="05287842"/>
    <w:rsid w:val="052E16D9"/>
    <w:rsid w:val="054F2D76"/>
    <w:rsid w:val="0596034B"/>
    <w:rsid w:val="05C757A2"/>
    <w:rsid w:val="06157298"/>
    <w:rsid w:val="065E49D1"/>
    <w:rsid w:val="066446C2"/>
    <w:rsid w:val="06904C71"/>
    <w:rsid w:val="06AE0CFE"/>
    <w:rsid w:val="06F45173"/>
    <w:rsid w:val="075376AC"/>
    <w:rsid w:val="07626521"/>
    <w:rsid w:val="079D7ADD"/>
    <w:rsid w:val="07AC10F0"/>
    <w:rsid w:val="07B92960"/>
    <w:rsid w:val="07C65B86"/>
    <w:rsid w:val="07E73AF8"/>
    <w:rsid w:val="07F540CC"/>
    <w:rsid w:val="080B062B"/>
    <w:rsid w:val="084B5EAB"/>
    <w:rsid w:val="086D783C"/>
    <w:rsid w:val="086E7BE3"/>
    <w:rsid w:val="087D3193"/>
    <w:rsid w:val="08867C43"/>
    <w:rsid w:val="0891696F"/>
    <w:rsid w:val="08A75787"/>
    <w:rsid w:val="08C4203A"/>
    <w:rsid w:val="08CF62A0"/>
    <w:rsid w:val="08F17E2F"/>
    <w:rsid w:val="08FD7DFF"/>
    <w:rsid w:val="090A3833"/>
    <w:rsid w:val="093B628A"/>
    <w:rsid w:val="0956580E"/>
    <w:rsid w:val="09625F64"/>
    <w:rsid w:val="09850A36"/>
    <w:rsid w:val="09A21E06"/>
    <w:rsid w:val="09D649AF"/>
    <w:rsid w:val="0A1241F7"/>
    <w:rsid w:val="0A82192C"/>
    <w:rsid w:val="0A8B5DEA"/>
    <w:rsid w:val="0A8F1060"/>
    <w:rsid w:val="0AB5173C"/>
    <w:rsid w:val="0ABB03DD"/>
    <w:rsid w:val="0AC21138"/>
    <w:rsid w:val="0AE23E81"/>
    <w:rsid w:val="0B0457E1"/>
    <w:rsid w:val="0B1B06A0"/>
    <w:rsid w:val="0B1F2554"/>
    <w:rsid w:val="0BD32AB8"/>
    <w:rsid w:val="0BEB488F"/>
    <w:rsid w:val="0C1B5F93"/>
    <w:rsid w:val="0C367CB7"/>
    <w:rsid w:val="0C7C3B48"/>
    <w:rsid w:val="0CB95A71"/>
    <w:rsid w:val="0CD76004"/>
    <w:rsid w:val="0CDE7973"/>
    <w:rsid w:val="0CF842F0"/>
    <w:rsid w:val="0CFB5680"/>
    <w:rsid w:val="0CFD67F0"/>
    <w:rsid w:val="0D402BE9"/>
    <w:rsid w:val="0DAC7819"/>
    <w:rsid w:val="0DAE3C4F"/>
    <w:rsid w:val="0DBB2F93"/>
    <w:rsid w:val="0DE84DA6"/>
    <w:rsid w:val="0DF5563E"/>
    <w:rsid w:val="0E073F0E"/>
    <w:rsid w:val="0E08262F"/>
    <w:rsid w:val="0E207B9A"/>
    <w:rsid w:val="0E381D4F"/>
    <w:rsid w:val="0E8F540B"/>
    <w:rsid w:val="0E9B4C8B"/>
    <w:rsid w:val="0EE40A67"/>
    <w:rsid w:val="0EE70647"/>
    <w:rsid w:val="0F093687"/>
    <w:rsid w:val="0F170CC6"/>
    <w:rsid w:val="0F7E2ED5"/>
    <w:rsid w:val="0F9424CF"/>
    <w:rsid w:val="0FD1535A"/>
    <w:rsid w:val="0FF645CE"/>
    <w:rsid w:val="0FFA7DAB"/>
    <w:rsid w:val="101A114C"/>
    <w:rsid w:val="10283845"/>
    <w:rsid w:val="103B38AF"/>
    <w:rsid w:val="103D2CF8"/>
    <w:rsid w:val="10790896"/>
    <w:rsid w:val="107D316C"/>
    <w:rsid w:val="10932680"/>
    <w:rsid w:val="10C3322A"/>
    <w:rsid w:val="10D760A6"/>
    <w:rsid w:val="10E15955"/>
    <w:rsid w:val="10EE78C7"/>
    <w:rsid w:val="11240E09"/>
    <w:rsid w:val="1183145D"/>
    <w:rsid w:val="11976A03"/>
    <w:rsid w:val="11A26A10"/>
    <w:rsid w:val="11BD71BD"/>
    <w:rsid w:val="11C81011"/>
    <w:rsid w:val="11DE016E"/>
    <w:rsid w:val="11EF33E9"/>
    <w:rsid w:val="1206364F"/>
    <w:rsid w:val="12107866"/>
    <w:rsid w:val="12581151"/>
    <w:rsid w:val="125F7E81"/>
    <w:rsid w:val="126042C6"/>
    <w:rsid w:val="126860AF"/>
    <w:rsid w:val="12E2716B"/>
    <w:rsid w:val="12EA1EF0"/>
    <w:rsid w:val="13174E4E"/>
    <w:rsid w:val="131C337F"/>
    <w:rsid w:val="13203EC3"/>
    <w:rsid w:val="1325699C"/>
    <w:rsid w:val="13435DE0"/>
    <w:rsid w:val="13774A95"/>
    <w:rsid w:val="13823AC5"/>
    <w:rsid w:val="1398241B"/>
    <w:rsid w:val="139E4AC1"/>
    <w:rsid w:val="13D27771"/>
    <w:rsid w:val="14631F3C"/>
    <w:rsid w:val="14773EA8"/>
    <w:rsid w:val="148D6EFE"/>
    <w:rsid w:val="14DE1019"/>
    <w:rsid w:val="1501693B"/>
    <w:rsid w:val="154C0239"/>
    <w:rsid w:val="15BD4454"/>
    <w:rsid w:val="15CE4CAC"/>
    <w:rsid w:val="15FA2CA3"/>
    <w:rsid w:val="160D64AF"/>
    <w:rsid w:val="160E2093"/>
    <w:rsid w:val="161561F8"/>
    <w:rsid w:val="163439F5"/>
    <w:rsid w:val="16673A86"/>
    <w:rsid w:val="166D7A38"/>
    <w:rsid w:val="167F6B06"/>
    <w:rsid w:val="16884B6B"/>
    <w:rsid w:val="168926DA"/>
    <w:rsid w:val="16C25AF0"/>
    <w:rsid w:val="178047AD"/>
    <w:rsid w:val="17C4585B"/>
    <w:rsid w:val="17D45A44"/>
    <w:rsid w:val="17DC2C62"/>
    <w:rsid w:val="17E2366E"/>
    <w:rsid w:val="17EF1E5E"/>
    <w:rsid w:val="181F2979"/>
    <w:rsid w:val="1825217D"/>
    <w:rsid w:val="18396F3E"/>
    <w:rsid w:val="1840368A"/>
    <w:rsid w:val="18C3690C"/>
    <w:rsid w:val="18C37A41"/>
    <w:rsid w:val="18DC5E6B"/>
    <w:rsid w:val="18DD2651"/>
    <w:rsid w:val="18F5181A"/>
    <w:rsid w:val="18F52E77"/>
    <w:rsid w:val="18FF4C4E"/>
    <w:rsid w:val="193C6E6F"/>
    <w:rsid w:val="19A64C7C"/>
    <w:rsid w:val="19B47492"/>
    <w:rsid w:val="19E3350F"/>
    <w:rsid w:val="1A1E7D29"/>
    <w:rsid w:val="1A214604"/>
    <w:rsid w:val="1A2A2E6F"/>
    <w:rsid w:val="1A2A47B1"/>
    <w:rsid w:val="1A33400F"/>
    <w:rsid w:val="1A5754CC"/>
    <w:rsid w:val="1A736849"/>
    <w:rsid w:val="1A8F059B"/>
    <w:rsid w:val="1AA04839"/>
    <w:rsid w:val="1AA06859"/>
    <w:rsid w:val="1AF97385"/>
    <w:rsid w:val="1B3229B4"/>
    <w:rsid w:val="1B495FC0"/>
    <w:rsid w:val="1B9F470E"/>
    <w:rsid w:val="1BE328E0"/>
    <w:rsid w:val="1BE74928"/>
    <w:rsid w:val="1C1F2A7A"/>
    <w:rsid w:val="1C4B26CB"/>
    <w:rsid w:val="1C672941"/>
    <w:rsid w:val="1C851370"/>
    <w:rsid w:val="1C8C668D"/>
    <w:rsid w:val="1CF81047"/>
    <w:rsid w:val="1D280BDA"/>
    <w:rsid w:val="1D3F4535"/>
    <w:rsid w:val="1D4C5512"/>
    <w:rsid w:val="1D6C002D"/>
    <w:rsid w:val="1D891D9D"/>
    <w:rsid w:val="1DB9682A"/>
    <w:rsid w:val="1DBC79CD"/>
    <w:rsid w:val="1DD067A3"/>
    <w:rsid w:val="1E064543"/>
    <w:rsid w:val="1E2D2B24"/>
    <w:rsid w:val="1E641604"/>
    <w:rsid w:val="1E9E1EBC"/>
    <w:rsid w:val="1EB869F0"/>
    <w:rsid w:val="1EC807A5"/>
    <w:rsid w:val="1ECA2E1E"/>
    <w:rsid w:val="1ED47C56"/>
    <w:rsid w:val="1EE47064"/>
    <w:rsid w:val="1F0D46A7"/>
    <w:rsid w:val="1F0D7A94"/>
    <w:rsid w:val="1F723716"/>
    <w:rsid w:val="1FEB009E"/>
    <w:rsid w:val="200D3B4D"/>
    <w:rsid w:val="203D1A88"/>
    <w:rsid w:val="204E65DD"/>
    <w:rsid w:val="207207F6"/>
    <w:rsid w:val="20A97E61"/>
    <w:rsid w:val="20AD1D1D"/>
    <w:rsid w:val="217E1B3A"/>
    <w:rsid w:val="217F44F4"/>
    <w:rsid w:val="219F0D8D"/>
    <w:rsid w:val="21D81419"/>
    <w:rsid w:val="21F53233"/>
    <w:rsid w:val="22871832"/>
    <w:rsid w:val="22946AA8"/>
    <w:rsid w:val="229E271B"/>
    <w:rsid w:val="22D23B3D"/>
    <w:rsid w:val="22DC2B7D"/>
    <w:rsid w:val="22E504BD"/>
    <w:rsid w:val="22F22DF9"/>
    <w:rsid w:val="22FC2FE3"/>
    <w:rsid w:val="23141BE7"/>
    <w:rsid w:val="23160A7F"/>
    <w:rsid w:val="231758C6"/>
    <w:rsid w:val="233C4F67"/>
    <w:rsid w:val="2367601D"/>
    <w:rsid w:val="23705EF0"/>
    <w:rsid w:val="23707F79"/>
    <w:rsid w:val="239D0268"/>
    <w:rsid w:val="23DC1BD0"/>
    <w:rsid w:val="23E67D81"/>
    <w:rsid w:val="23E9066C"/>
    <w:rsid w:val="24351C74"/>
    <w:rsid w:val="244B7AB3"/>
    <w:rsid w:val="245726F0"/>
    <w:rsid w:val="2475559C"/>
    <w:rsid w:val="24AE3BB3"/>
    <w:rsid w:val="24CE7693"/>
    <w:rsid w:val="24D27DC0"/>
    <w:rsid w:val="24E06961"/>
    <w:rsid w:val="24F41C13"/>
    <w:rsid w:val="24FB08AC"/>
    <w:rsid w:val="254600BC"/>
    <w:rsid w:val="255950C1"/>
    <w:rsid w:val="25635FA6"/>
    <w:rsid w:val="2568709D"/>
    <w:rsid w:val="25764EAE"/>
    <w:rsid w:val="257D4CA7"/>
    <w:rsid w:val="258A71A6"/>
    <w:rsid w:val="25A80BFC"/>
    <w:rsid w:val="25AE38E3"/>
    <w:rsid w:val="25B634EC"/>
    <w:rsid w:val="25E17F47"/>
    <w:rsid w:val="25F75E42"/>
    <w:rsid w:val="26526A3A"/>
    <w:rsid w:val="26545424"/>
    <w:rsid w:val="265850CF"/>
    <w:rsid w:val="26601F62"/>
    <w:rsid w:val="26637131"/>
    <w:rsid w:val="26717AE1"/>
    <w:rsid w:val="269006D1"/>
    <w:rsid w:val="27304AD0"/>
    <w:rsid w:val="27351083"/>
    <w:rsid w:val="274D045F"/>
    <w:rsid w:val="27776F1A"/>
    <w:rsid w:val="27CB0C8D"/>
    <w:rsid w:val="27D16D41"/>
    <w:rsid w:val="27DD13A2"/>
    <w:rsid w:val="280668A9"/>
    <w:rsid w:val="282E1667"/>
    <w:rsid w:val="285A5AFB"/>
    <w:rsid w:val="28AA141A"/>
    <w:rsid w:val="28AA6C65"/>
    <w:rsid w:val="28E225D9"/>
    <w:rsid w:val="28E90444"/>
    <w:rsid w:val="28E95A68"/>
    <w:rsid w:val="29265495"/>
    <w:rsid w:val="29593477"/>
    <w:rsid w:val="29D90DBF"/>
    <w:rsid w:val="29E92652"/>
    <w:rsid w:val="2A4A2BEF"/>
    <w:rsid w:val="2A6A206F"/>
    <w:rsid w:val="2A7044D0"/>
    <w:rsid w:val="2A720315"/>
    <w:rsid w:val="2AB06523"/>
    <w:rsid w:val="2AB3104A"/>
    <w:rsid w:val="2ABB6856"/>
    <w:rsid w:val="2AD667E1"/>
    <w:rsid w:val="2B3F0190"/>
    <w:rsid w:val="2B5053EA"/>
    <w:rsid w:val="2B8A5F03"/>
    <w:rsid w:val="2BA54FBA"/>
    <w:rsid w:val="2BB77373"/>
    <w:rsid w:val="2BD3501C"/>
    <w:rsid w:val="2BD47124"/>
    <w:rsid w:val="2BEF7D24"/>
    <w:rsid w:val="2C2161CF"/>
    <w:rsid w:val="2C421F90"/>
    <w:rsid w:val="2CD27012"/>
    <w:rsid w:val="2D054A8A"/>
    <w:rsid w:val="2D15133C"/>
    <w:rsid w:val="2D23114A"/>
    <w:rsid w:val="2D620332"/>
    <w:rsid w:val="2DA91006"/>
    <w:rsid w:val="2DA933EA"/>
    <w:rsid w:val="2DCC22BF"/>
    <w:rsid w:val="2DE67FEB"/>
    <w:rsid w:val="2DFE1B61"/>
    <w:rsid w:val="2E0736B6"/>
    <w:rsid w:val="2E6E09A2"/>
    <w:rsid w:val="2E8A4F69"/>
    <w:rsid w:val="2E970C4B"/>
    <w:rsid w:val="2ECE670B"/>
    <w:rsid w:val="2EFD6FCF"/>
    <w:rsid w:val="2F1B04CF"/>
    <w:rsid w:val="2F30624E"/>
    <w:rsid w:val="2F3974F2"/>
    <w:rsid w:val="2F460DBA"/>
    <w:rsid w:val="2F6D0D3D"/>
    <w:rsid w:val="2F6E32B0"/>
    <w:rsid w:val="2F794F17"/>
    <w:rsid w:val="2F945ED9"/>
    <w:rsid w:val="2F9A1E7A"/>
    <w:rsid w:val="2F9A293C"/>
    <w:rsid w:val="2FE06B04"/>
    <w:rsid w:val="2FE53E7C"/>
    <w:rsid w:val="300D211E"/>
    <w:rsid w:val="301525A8"/>
    <w:rsid w:val="304A01CF"/>
    <w:rsid w:val="30901B5C"/>
    <w:rsid w:val="309D2000"/>
    <w:rsid w:val="30A4293F"/>
    <w:rsid w:val="30C80221"/>
    <w:rsid w:val="30C978EF"/>
    <w:rsid w:val="30D10445"/>
    <w:rsid w:val="30DB31AE"/>
    <w:rsid w:val="31994854"/>
    <w:rsid w:val="31A012DB"/>
    <w:rsid w:val="31A420C2"/>
    <w:rsid w:val="320405DE"/>
    <w:rsid w:val="32162C56"/>
    <w:rsid w:val="325E1FDA"/>
    <w:rsid w:val="327D426D"/>
    <w:rsid w:val="32837D08"/>
    <w:rsid w:val="32981496"/>
    <w:rsid w:val="32BD5DD5"/>
    <w:rsid w:val="32C9302F"/>
    <w:rsid w:val="32E30E48"/>
    <w:rsid w:val="32EA01AB"/>
    <w:rsid w:val="336C60E2"/>
    <w:rsid w:val="337A684E"/>
    <w:rsid w:val="338E4A30"/>
    <w:rsid w:val="33C127D3"/>
    <w:rsid w:val="33D37CDA"/>
    <w:rsid w:val="33E35388"/>
    <w:rsid w:val="34180C4B"/>
    <w:rsid w:val="34181C62"/>
    <w:rsid w:val="342305AA"/>
    <w:rsid w:val="34575A62"/>
    <w:rsid w:val="345F2D20"/>
    <w:rsid w:val="34684888"/>
    <w:rsid w:val="34A1727F"/>
    <w:rsid w:val="34A273CA"/>
    <w:rsid w:val="34C84D00"/>
    <w:rsid w:val="34F01229"/>
    <w:rsid w:val="34F47238"/>
    <w:rsid w:val="34FE61A7"/>
    <w:rsid w:val="350C0EC2"/>
    <w:rsid w:val="35491D65"/>
    <w:rsid w:val="35841C0C"/>
    <w:rsid w:val="358C701E"/>
    <w:rsid w:val="35995EF4"/>
    <w:rsid w:val="35A75094"/>
    <w:rsid w:val="35BE5E85"/>
    <w:rsid w:val="35C0287C"/>
    <w:rsid w:val="35E04A71"/>
    <w:rsid w:val="35E537AE"/>
    <w:rsid w:val="35F31465"/>
    <w:rsid w:val="35F70853"/>
    <w:rsid w:val="365F740F"/>
    <w:rsid w:val="36BA303E"/>
    <w:rsid w:val="36CC639A"/>
    <w:rsid w:val="36E60B50"/>
    <w:rsid w:val="370705FD"/>
    <w:rsid w:val="370B5DB6"/>
    <w:rsid w:val="371E6310"/>
    <w:rsid w:val="37374835"/>
    <w:rsid w:val="373D01CE"/>
    <w:rsid w:val="375506C2"/>
    <w:rsid w:val="37774C68"/>
    <w:rsid w:val="377E66AB"/>
    <w:rsid w:val="37975432"/>
    <w:rsid w:val="37B34F2B"/>
    <w:rsid w:val="37B81D37"/>
    <w:rsid w:val="37D86C13"/>
    <w:rsid w:val="38107BC3"/>
    <w:rsid w:val="387E5073"/>
    <w:rsid w:val="388573C0"/>
    <w:rsid w:val="38906126"/>
    <w:rsid w:val="38F11E73"/>
    <w:rsid w:val="38F121B6"/>
    <w:rsid w:val="390E3C5C"/>
    <w:rsid w:val="394F6FF9"/>
    <w:rsid w:val="39580C4C"/>
    <w:rsid w:val="396C17DC"/>
    <w:rsid w:val="399231E2"/>
    <w:rsid w:val="39937A9E"/>
    <w:rsid w:val="39B82BE0"/>
    <w:rsid w:val="39D20AE6"/>
    <w:rsid w:val="3A266A43"/>
    <w:rsid w:val="3A2E55C8"/>
    <w:rsid w:val="3A38508C"/>
    <w:rsid w:val="3A4150FB"/>
    <w:rsid w:val="3A46654F"/>
    <w:rsid w:val="3A4F2CC2"/>
    <w:rsid w:val="3A9A39C0"/>
    <w:rsid w:val="3AA10727"/>
    <w:rsid w:val="3AA973CC"/>
    <w:rsid w:val="3ABD3F81"/>
    <w:rsid w:val="3AE06AE2"/>
    <w:rsid w:val="3AF71C1E"/>
    <w:rsid w:val="3AFB12C1"/>
    <w:rsid w:val="3B15621E"/>
    <w:rsid w:val="3B156CB6"/>
    <w:rsid w:val="3B266084"/>
    <w:rsid w:val="3B5D7217"/>
    <w:rsid w:val="3B792359"/>
    <w:rsid w:val="3B8635C7"/>
    <w:rsid w:val="3BA437AB"/>
    <w:rsid w:val="3BAE6AA9"/>
    <w:rsid w:val="3C21507E"/>
    <w:rsid w:val="3C215BAB"/>
    <w:rsid w:val="3C325E61"/>
    <w:rsid w:val="3C4717C0"/>
    <w:rsid w:val="3C575FA8"/>
    <w:rsid w:val="3C741A30"/>
    <w:rsid w:val="3C76760A"/>
    <w:rsid w:val="3C865493"/>
    <w:rsid w:val="3CF64982"/>
    <w:rsid w:val="3D3102C2"/>
    <w:rsid w:val="3D492C0A"/>
    <w:rsid w:val="3D5C33E0"/>
    <w:rsid w:val="3D647469"/>
    <w:rsid w:val="3D75150F"/>
    <w:rsid w:val="3D8A5328"/>
    <w:rsid w:val="3D922A17"/>
    <w:rsid w:val="3DB12A2B"/>
    <w:rsid w:val="3DF6760A"/>
    <w:rsid w:val="3E4706F3"/>
    <w:rsid w:val="3EB67E1C"/>
    <w:rsid w:val="3ED46C28"/>
    <w:rsid w:val="3ED74030"/>
    <w:rsid w:val="3EE254DF"/>
    <w:rsid w:val="3F077260"/>
    <w:rsid w:val="3F150A4E"/>
    <w:rsid w:val="3F2E0270"/>
    <w:rsid w:val="3F445D75"/>
    <w:rsid w:val="3F487F06"/>
    <w:rsid w:val="3F4A0495"/>
    <w:rsid w:val="3F6A1A80"/>
    <w:rsid w:val="3F713EF3"/>
    <w:rsid w:val="3FB66201"/>
    <w:rsid w:val="3FD7475C"/>
    <w:rsid w:val="3FDD60F9"/>
    <w:rsid w:val="40007B66"/>
    <w:rsid w:val="40131B4D"/>
    <w:rsid w:val="4037673D"/>
    <w:rsid w:val="40786149"/>
    <w:rsid w:val="408F0241"/>
    <w:rsid w:val="40924898"/>
    <w:rsid w:val="40C947F8"/>
    <w:rsid w:val="40D12F15"/>
    <w:rsid w:val="40E2763D"/>
    <w:rsid w:val="40EF7896"/>
    <w:rsid w:val="40F2161A"/>
    <w:rsid w:val="411F09F7"/>
    <w:rsid w:val="41435504"/>
    <w:rsid w:val="414E7562"/>
    <w:rsid w:val="415F12AE"/>
    <w:rsid w:val="416E7E42"/>
    <w:rsid w:val="418353B6"/>
    <w:rsid w:val="41836A6F"/>
    <w:rsid w:val="418E2A97"/>
    <w:rsid w:val="419515A8"/>
    <w:rsid w:val="41B10BCD"/>
    <w:rsid w:val="41BD2C18"/>
    <w:rsid w:val="42267A53"/>
    <w:rsid w:val="426644A4"/>
    <w:rsid w:val="42680B72"/>
    <w:rsid w:val="427E7A52"/>
    <w:rsid w:val="428D2A00"/>
    <w:rsid w:val="42BF01A3"/>
    <w:rsid w:val="42D005C9"/>
    <w:rsid w:val="42F339C9"/>
    <w:rsid w:val="42FF458C"/>
    <w:rsid w:val="43001BED"/>
    <w:rsid w:val="43A27A30"/>
    <w:rsid w:val="43B66F47"/>
    <w:rsid w:val="43EE6CDB"/>
    <w:rsid w:val="440C77EB"/>
    <w:rsid w:val="442B6DA4"/>
    <w:rsid w:val="44481F92"/>
    <w:rsid w:val="447344B6"/>
    <w:rsid w:val="447D1C25"/>
    <w:rsid w:val="44821041"/>
    <w:rsid w:val="44B73772"/>
    <w:rsid w:val="44E03E35"/>
    <w:rsid w:val="44ED7DE2"/>
    <w:rsid w:val="45156CD0"/>
    <w:rsid w:val="453F0D0D"/>
    <w:rsid w:val="45755B5D"/>
    <w:rsid w:val="45771DD4"/>
    <w:rsid w:val="458A1493"/>
    <w:rsid w:val="4591079A"/>
    <w:rsid w:val="45DB6920"/>
    <w:rsid w:val="46262AE0"/>
    <w:rsid w:val="464E0378"/>
    <w:rsid w:val="46684756"/>
    <w:rsid w:val="466A02E3"/>
    <w:rsid w:val="46724B67"/>
    <w:rsid w:val="4674051B"/>
    <w:rsid w:val="46797910"/>
    <w:rsid w:val="468916E1"/>
    <w:rsid w:val="468C302A"/>
    <w:rsid w:val="46913125"/>
    <w:rsid w:val="46BF599F"/>
    <w:rsid w:val="472E005C"/>
    <w:rsid w:val="47516EBB"/>
    <w:rsid w:val="476E3841"/>
    <w:rsid w:val="478F2A15"/>
    <w:rsid w:val="4796097A"/>
    <w:rsid w:val="479B6FC0"/>
    <w:rsid w:val="47A065FD"/>
    <w:rsid w:val="47B221C5"/>
    <w:rsid w:val="47BD1A9C"/>
    <w:rsid w:val="48044BD1"/>
    <w:rsid w:val="481C338C"/>
    <w:rsid w:val="4830011A"/>
    <w:rsid w:val="48451C42"/>
    <w:rsid w:val="48943425"/>
    <w:rsid w:val="48D974AB"/>
    <w:rsid w:val="48FB3265"/>
    <w:rsid w:val="48FD1023"/>
    <w:rsid w:val="490E71C9"/>
    <w:rsid w:val="494F5B63"/>
    <w:rsid w:val="49551ED1"/>
    <w:rsid w:val="49625DD2"/>
    <w:rsid w:val="49635192"/>
    <w:rsid w:val="496B185C"/>
    <w:rsid w:val="499840F6"/>
    <w:rsid w:val="49C01817"/>
    <w:rsid w:val="49C02055"/>
    <w:rsid w:val="49D722FA"/>
    <w:rsid w:val="49DF2B7B"/>
    <w:rsid w:val="49E16111"/>
    <w:rsid w:val="4A031513"/>
    <w:rsid w:val="4A2F5494"/>
    <w:rsid w:val="4A4C7C9D"/>
    <w:rsid w:val="4A530B09"/>
    <w:rsid w:val="4A601F34"/>
    <w:rsid w:val="4A625777"/>
    <w:rsid w:val="4A975599"/>
    <w:rsid w:val="4AE919CF"/>
    <w:rsid w:val="4AFE3042"/>
    <w:rsid w:val="4B055E91"/>
    <w:rsid w:val="4B0654B4"/>
    <w:rsid w:val="4B476E3C"/>
    <w:rsid w:val="4B78062B"/>
    <w:rsid w:val="4B7F1634"/>
    <w:rsid w:val="4BBB46EC"/>
    <w:rsid w:val="4BC56D85"/>
    <w:rsid w:val="4BC7104B"/>
    <w:rsid w:val="4C134FCB"/>
    <w:rsid w:val="4C136B22"/>
    <w:rsid w:val="4C220EB5"/>
    <w:rsid w:val="4C5865AF"/>
    <w:rsid w:val="4C666753"/>
    <w:rsid w:val="4C7064E4"/>
    <w:rsid w:val="4C804E73"/>
    <w:rsid w:val="4C9E0FCE"/>
    <w:rsid w:val="4CA54B9D"/>
    <w:rsid w:val="4CC53DBE"/>
    <w:rsid w:val="4CE4320A"/>
    <w:rsid w:val="4CE43BB5"/>
    <w:rsid w:val="4D273051"/>
    <w:rsid w:val="4D342A87"/>
    <w:rsid w:val="4D3A0EA8"/>
    <w:rsid w:val="4D62208B"/>
    <w:rsid w:val="4DAC230D"/>
    <w:rsid w:val="4DB8638A"/>
    <w:rsid w:val="4DE94D43"/>
    <w:rsid w:val="4DEA3CE2"/>
    <w:rsid w:val="4E0200B2"/>
    <w:rsid w:val="4E0F207A"/>
    <w:rsid w:val="4E595A4D"/>
    <w:rsid w:val="4E85439D"/>
    <w:rsid w:val="4EB2136E"/>
    <w:rsid w:val="4EB6726F"/>
    <w:rsid w:val="4EDD78FB"/>
    <w:rsid w:val="4F01333C"/>
    <w:rsid w:val="4F090EC2"/>
    <w:rsid w:val="4F0A55AE"/>
    <w:rsid w:val="4F0D63DD"/>
    <w:rsid w:val="4F600656"/>
    <w:rsid w:val="4F7C758D"/>
    <w:rsid w:val="4F895E53"/>
    <w:rsid w:val="4FAA2BDF"/>
    <w:rsid w:val="50041DC8"/>
    <w:rsid w:val="501E7AA2"/>
    <w:rsid w:val="50495D1B"/>
    <w:rsid w:val="5056765B"/>
    <w:rsid w:val="505C0171"/>
    <w:rsid w:val="50855EB8"/>
    <w:rsid w:val="50A74FDC"/>
    <w:rsid w:val="50B563F4"/>
    <w:rsid w:val="50B877EC"/>
    <w:rsid w:val="50EF2F8D"/>
    <w:rsid w:val="50F42017"/>
    <w:rsid w:val="510651EE"/>
    <w:rsid w:val="5112656B"/>
    <w:rsid w:val="51440ABD"/>
    <w:rsid w:val="515C4884"/>
    <w:rsid w:val="51695579"/>
    <w:rsid w:val="517C7134"/>
    <w:rsid w:val="517D523F"/>
    <w:rsid w:val="51A54975"/>
    <w:rsid w:val="51AE43FF"/>
    <w:rsid w:val="51B16861"/>
    <w:rsid w:val="51C95EBE"/>
    <w:rsid w:val="51DE7AD8"/>
    <w:rsid w:val="51E002DD"/>
    <w:rsid w:val="520443ED"/>
    <w:rsid w:val="521946B6"/>
    <w:rsid w:val="52195121"/>
    <w:rsid w:val="522037DF"/>
    <w:rsid w:val="5236152D"/>
    <w:rsid w:val="523730BB"/>
    <w:rsid w:val="523B2D53"/>
    <w:rsid w:val="5256108D"/>
    <w:rsid w:val="525B6782"/>
    <w:rsid w:val="525D57BD"/>
    <w:rsid w:val="528474EB"/>
    <w:rsid w:val="52C35C91"/>
    <w:rsid w:val="52E66FF5"/>
    <w:rsid w:val="530549AD"/>
    <w:rsid w:val="531C1252"/>
    <w:rsid w:val="531D34C5"/>
    <w:rsid w:val="534521CD"/>
    <w:rsid w:val="535958B2"/>
    <w:rsid w:val="537F03B4"/>
    <w:rsid w:val="538A3FC2"/>
    <w:rsid w:val="53FF3BA6"/>
    <w:rsid w:val="54044DFF"/>
    <w:rsid w:val="541A73A9"/>
    <w:rsid w:val="542F593A"/>
    <w:rsid w:val="54571944"/>
    <w:rsid w:val="54602737"/>
    <w:rsid w:val="54657321"/>
    <w:rsid w:val="546741FB"/>
    <w:rsid w:val="54935764"/>
    <w:rsid w:val="54D75BC5"/>
    <w:rsid w:val="54DB20CE"/>
    <w:rsid w:val="5501736B"/>
    <w:rsid w:val="550665C5"/>
    <w:rsid w:val="554E153D"/>
    <w:rsid w:val="555A484B"/>
    <w:rsid w:val="55742FD9"/>
    <w:rsid w:val="55C55C09"/>
    <w:rsid w:val="55CA79F6"/>
    <w:rsid w:val="55D53356"/>
    <w:rsid w:val="55D81540"/>
    <w:rsid w:val="561302A9"/>
    <w:rsid w:val="562C4AE0"/>
    <w:rsid w:val="569A3145"/>
    <w:rsid w:val="56DC778F"/>
    <w:rsid w:val="5764361E"/>
    <w:rsid w:val="576F46DF"/>
    <w:rsid w:val="57DA6C4F"/>
    <w:rsid w:val="57E11FA2"/>
    <w:rsid w:val="57E912BD"/>
    <w:rsid w:val="57F16639"/>
    <w:rsid w:val="57F84E06"/>
    <w:rsid w:val="5813237A"/>
    <w:rsid w:val="581B00A4"/>
    <w:rsid w:val="58227025"/>
    <w:rsid w:val="58307947"/>
    <w:rsid w:val="58560288"/>
    <w:rsid w:val="587F5D0A"/>
    <w:rsid w:val="58D86804"/>
    <w:rsid w:val="58D931F4"/>
    <w:rsid w:val="592102DA"/>
    <w:rsid w:val="59846C4E"/>
    <w:rsid w:val="599B76A4"/>
    <w:rsid w:val="59CF66D7"/>
    <w:rsid w:val="59D11A82"/>
    <w:rsid w:val="59D857B2"/>
    <w:rsid w:val="59EE6FB4"/>
    <w:rsid w:val="59F253C3"/>
    <w:rsid w:val="5A1A028C"/>
    <w:rsid w:val="5A391CC5"/>
    <w:rsid w:val="5A3A0392"/>
    <w:rsid w:val="5A4D3DF9"/>
    <w:rsid w:val="5A8F0DEB"/>
    <w:rsid w:val="5AD87ED4"/>
    <w:rsid w:val="5B5574C9"/>
    <w:rsid w:val="5B59590F"/>
    <w:rsid w:val="5BA40E08"/>
    <w:rsid w:val="5BAA6B8E"/>
    <w:rsid w:val="5BB72981"/>
    <w:rsid w:val="5BD171BB"/>
    <w:rsid w:val="5BDF2A0C"/>
    <w:rsid w:val="5BFE6290"/>
    <w:rsid w:val="5C126023"/>
    <w:rsid w:val="5C3C73A7"/>
    <w:rsid w:val="5C520234"/>
    <w:rsid w:val="5CCD468C"/>
    <w:rsid w:val="5CCF7812"/>
    <w:rsid w:val="5CE73C1A"/>
    <w:rsid w:val="5CF537EA"/>
    <w:rsid w:val="5D150028"/>
    <w:rsid w:val="5D241832"/>
    <w:rsid w:val="5D246928"/>
    <w:rsid w:val="5D2469CC"/>
    <w:rsid w:val="5D3C74FA"/>
    <w:rsid w:val="5D4B008C"/>
    <w:rsid w:val="5D921ED5"/>
    <w:rsid w:val="5E0C189E"/>
    <w:rsid w:val="5E3614AE"/>
    <w:rsid w:val="5E3F5DFF"/>
    <w:rsid w:val="5E690E61"/>
    <w:rsid w:val="5E7C1582"/>
    <w:rsid w:val="5E9F139B"/>
    <w:rsid w:val="5EB84CDB"/>
    <w:rsid w:val="5ED45F3D"/>
    <w:rsid w:val="5EFA1B72"/>
    <w:rsid w:val="5F1B0423"/>
    <w:rsid w:val="5F546264"/>
    <w:rsid w:val="5F6A1CD3"/>
    <w:rsid w:val="5F6E2FBE"/>
    <w:rsid w:val="5F7C569F"/>
    <w:rsid w:val="5FAF6BD7"/>
    <w:rsid w:val="5FE560A2"/>
    <w:rsid w:val="5FFE01EE"/>
    <w:rsid w:val="60163326"/>
    <w:rsid w:val="601D3086"/>
    <w:rsid w:val="60575CAA"/>
    <w:rsid w:val="60584976"/>
    <w:rsid w:val="607C3BBE"/>
    <w:rsid w:val="60817DA0"/>
    <w:rsid w:val="60D0172C"/>
    <w:rsid w:val="60D55A2B"/>
    <w:rsid w:val="61206A6A"/>
    <w:rsid w:val="614056EB"/>
    <w:rsid w:val="614B2B0F"/>
    <w:rsid w:val="616C7D0B"/>
    <w:rsid w:val="61A0413E"/>
    <w:rsid w:val="61C950AA"/>
    <w:rsid w:val="61CB4740"/>
    <w:rsid w:val="61D66314"/>
    <w:rsid w:val="61D77FD3"/>
    <w:rsid w:val="61DA5E4C"/>
    <w:rsid w:val="61DF75E9"/>
    <w:rsid w:val="621255E1"/>
    <w:rsid w:val="624F74B9"/>
    <w:rsid w:val="62617547"/>
    <w:rsid w:val="62A832CE"/>
    <w:rsid w:val="62B54AC1"/>
    <w:rsid w:val="63284A4E"/>
    <w:rsid w:val="634E7255"/>
    <w:rsid w:val="634F7879"/>
    <w:rsid w:val="636C2835"/>
    <w:rsid w:val="63783505"/>
    <w:rsid w:val="63C632F6"/>
    <w:rsid w:val="63D30086"/>
    <w:rsid w:val="63E61ACD"/>
    <w:rsid w:val="64120509"/>
    <w:rsid w:val="641C3F65"/>
    <w:rsid w:val="647E294C"/>
    <w:rsid w:val="647F038C"/>
    <w:rsid w:val="64CE4478"/>
    <w:rsid w:val="65004284"/>
    <w:rsid w:val="66937FB5"/>
    <w:rsid w:val="669B57A8"/>
    <w:rsid w:val="66A23261"/>
    <w:rsid w:val="671C7355"/>
    <w:rsid w:val="6736016E"/>
    <w:rsid w:val="67377286"/>
    <w:rsid w:val="674B0951"/>
    <w:rsid w:val="67764FBC"/>
    <w:rsid w:val="680379E6"/>
    <w:rsid w:val="68274A0A"/>
    <w:rsid w:val="684F161F"/>
    <w:rsid w:val="68785ECC"/>
    <w:rsid w:val="687A63B2"/>
    <w:rsid w:val="68BE2EE8"/>
    <w:rsid w:val="68C265D8"/>
    <w:rsid w:val="690D0714"/>
    <w:rsid w:val="690F4053"/>
    <w:rsid w:val="69263D0C"/>
    <w:rsid w:val="692C3FFA"/>
    <w:rsid w:val="693929A7"/>
    <w:rsid w:val="695B7504"/>
    <w:rsid w:val="69710E26"/>
    <w:rsid w:val="699E40F2"/>
    <w:rsid w:val="69D06A4D"/>
    <w:rsid w:val="6A6F2DB4"/>
    <w:rsid w:val="6A79095D"/>
    <w:rsid w:val="6A9665C1"/>
    <w:rsid w:val="6AE52476"/>
    <w:rsid w:val="6B1D2B19"/>
    <w:rsid w:val="6B1D77E6"/>
    <w:rsid w:val="6B3B4A9E"/>
    <w:rsid w:val="6B531FF4"/>
    <w:rsid w:val="6B5D6CC3"/>
    <w:rsid w:val="6B6D7119"/>
    <w:rsid w:val="6BBC7F28"/>
    <w:rsid w:val="6BDA26F2"/>
    <w:rsid w:val="6C020F43"/>
    <w:rsid w:val="6C260C63"/>
    <w:rsid w:val="6C297322"/>
    <w:rsid w:val="6C570570"/>
    <w:rsid w:val="6C7C1F0A"/>
    <w:rsid w:val="6C9C647C"/>
    <w:rsid w:val="6CAD658D"/>
    <w:rsid w:val="6CFA2508"/>
    <w:rsid w:val="6CFB2230"/>
    <w:rsid w:val="6CFB79C0"/>
    <w:rsid w:val="6D011609"/>
    <w:rsid w:val="6D1F5E38"/>
    <w:rsid w:val="6D307F5E"/>
    <w:rsid w:val="6D4C4A05"/>
    <w:rsid w:val="6D6B670D"/>
    <w:rsid w:val="6D7C4C42"/>
    <w:rsid w:val="6D92368F"/>
    <w:rsid w:val="6DBB2CBB"/>
    <w:rsid w:val="6DCF4DF6"/>
    <w:rsid w:val="6DDD57CF"/>
    <w:rsid w:val="6DE87806"/>
    <w:rsid w:val="6DE926E6"/>
    <w:rsid w:val="6E246111"/>
    <w:rsid w:val="6E643CA7"/>
    <w:rsid w:val="6E7373D0"/>
    <w:rsid w:val="6E8A6156"/>
    <w:rsid w:val="6EC314B6"/>
    <w:rsid w:val="6F10047F"/>
    <w:rsid w:val="6F4910E6"/>
    <w:rsid w:val="6F6E72CF"/>
    <w:rsid w:val="6FBA4E37"/>
    <w:rsid w:val="6FC178E6"/>
    <w:rsid w:val="6FC717C8"/>
    <w:rsid w:val="6FE06DC7"/>
    <w:rsid w:val="701972CE"/>
    <w:rsid w:val="702A5C0C"/>
    <w:rsid w:val="705B6305"/>
    <w:rsid w:val="70707A7F"/>
    <w:rsid w:val="712E427A"/>
    <w:rsid w:val="7149380E"/>
    <w:rsid w:val="71750047"/>
    <w:rsid w:val="717B6D0A"/>
    <w:rsid w:val="71883549"/>
    <w:rsid w:val="71AD23CE"/>
    <w:rsid w:val="71D740D1"/>
    <w:rsid w:val="720C3621"/>
    <w:rsid w:val="721F44DC"/>
    <w:rsid w:val="724329C5"/>
    <w:rsid w:val="724F0403"/>
    <w:rsid w:val="72CD318E"/>
    <w:rsid w:val="72DF33AD"/>
    <w:rsid w:val="730A3AFA"/>
    <w:rsid w:val="732303C5"/>
    <w:rsid w:val="7344334F"/>
    <w:rsid w:val="735168CF"/>
    <w:rsid w:val="735917DC"/>
    <w:rsid w:val="73612233"/>
    <w:rsid w:val="73EE3393"/>
    <w:rsid w:val="73F45CCE"/>
    <w:rsid w:val="741D77E2"/>
    <w:rsid w:val="743154E6"/>
    <w:rsid w:val="74576E53"/>
    <w:rsid w:val="747271F2"/>
    <w:rsid w:val="74B4418E"/>
    <w:rsid w:val="74C933EB"/>
    <w:rsid w:val="7508074E"/>
    <w:rsid w:val="75860D5F"/>
    <w:rsid w:val="75A6089C"/>
    <w:rsid w:val="75AB0D17"/>
    <w:rsid w:val="75CA4473"/>
    <w:rsid w:val="75CD2374"/>
    <w:rsid w:val="75E065E8"/>
    <w:rsid w:val="75E4301A"/>
    <w:rsid w:val="75EC3052"/>
    <w:rsid w:val="760908C1"/>
    <w:rsid w:val="76266DCA"/>
    <w:rsid w:val="763B1E55"/>
    <w:rsid w:val="766E32D3"/>
    <w:rsid w:val="76783236"/>
    <w:rsid w:val="76903327"/>
    <w:rsid w:val="76962A38"/>
    <w:rsid w:val="76967823"/>
    <w:rsid w:val="76A15B43"/>
    <w:rsid w:val="76A46169"/>
    <w:rsid w:val="76B42347"/>
    <w:rsid w:val="76BE2D0D"/>
    <w:rsid w:val="76EB78DC"/>
    <w:rsid w:val="77447073"/>
    <w:rsid w:val="777D21CD"/>
    <w:rsid w:val="77951380"/>
    <w:rsid w:val="77973AA9"/>
    <w:rsid w:val="77A4279A"/>
    <w:rsid w:val="78146DDA"/>
    <w:rsid w:val="782A05CA"/>
    <w:rsid w:val="78416CF4"/>
    <w:rsid w:val="784922FF"/>
    <w:rsid w:val="788B19E9"/>
    <w:rsid w:val="78C00DA5"/>
    <w:rsid w:val="78D71982"/>
    <w:rsid w:val="7902755F"/>
    <w:rsid w:val="790E07CC"/>
    <w:rsid w:val="7943312B"/>
    <w:rsid w:val="795923EA"/>
    <w:rsid w:val="795C7A55"/>
    <w:rsid w:val="79640FE6"/>
    <w:rsid w:val="7968169D"/>
    <w:rsid w:val="798770F1"/>
    <w:rsid w:val="798F556C"/>
    <w:rsid w:val="79BE14A1"/>
    <w:rsid w:val="79D9359F"/>
    <w:rsid w:val="7A2970A1"/>
    <w:rsid w:val="7A2A7932"/>
    <w:rsid w:val="7A3A4E1B"/>
    <w:rsid w:val="7A54059D"/>
    <w:rsid w:val="7A6552B7"/>
    <w:rsid w:val="7A70610F"/>
    <w:rsid w:val="7AD95478"/>
    <w:rsid w:val="7AFB1099"/>
    <w:rsid w:val="7B033E4B"/>
    <w:rsid w:val="7B1D6289"/>
    <w:rsid w:val="7B287AB0"/>
    <w:rsid w:val="7B3D544B"/>
    <w:rsid w:val="7B413F00"/>
    <w:rsid w:val="7B691DDF"/>
    <w:rsid w:val="7BED47F8"/>
    <w:rsid w:val="7BFB6B9B"/>
    <w:rsid w:val="7C26280A"/>
    <w:rsid w:val="7C9970F7"/>
    <w:rsid w:val="7CA347F3"/>
    <w:rsid w:val="7CE2300E"/>
    <w:rsid w:val="7D2E0050"/>
    <w:rsid w:val="7D4572C6"/>
    <w:rsid w:val="7DB0235C"/>
    <w:rsid w:val="7DC64E75"/>
    <w:rsid w:val="7DDD25F7"/>
    <w:rsid w:val="7DE95D5F"/>
    <w:rsid w:val="7DEC4025"/>
    <w:rsid w:val="7E112A81"/>
    <w:rsid w:val="7E2502AB"/>
    <w:rsid w:val="7E67332C"/>
    <w:rsid w:val="7E8750AB"/>
    <w:rsid w:val="7EB835CE"/>
    <w:rsid w:val="7EDA7D61"/>
    <w:rsid w:val="7F0C166A"/>
    <w:rsid w:val="7F270431"/>
    <w:rsid w:val="7F5C66F1"/>
    <w:rsid w:val="7F6507EB"/>
    <w:rsid w:val="7F6A68F8"/>
    <w:rsid w:val="7F724E85"/>
    <w:rsid w:val="7FAB509C"/>
    <w:rsid w:val="7FD1468A"/>
    <w:rsid w:val="7FD1630A"/>
    <w:rsid w:val="7FEF1CD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4"/>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qFormat/>
    <w:locked/>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link w:val="36"/>
    <w:qFormat/>
    <w:locked/>
    <w:uiPriority w:val="0"/>
    <w:pPr>
      <w:keepNext/>
      <w:keepLines/>
      <w:spacing w:line="413" w:lineRule="auto"/>
      <w:outlineLvl w:val="2"/>
    </w:pPr>
    <w:rPr>
      <w:rFonts w:ascii="Times New Roman" w:hAnsi="Times New Roman"/>
      <w:b/>
      <w:kern w:val="0"/>
      <w:sz w:val="32"/>
      <w:szCs w:val="20"/>
    </w:rPr>
  </w:style>
  <w:style w:type="paragraph" w:styleId="5">
    <w:name w:val="heading 4"/>
    <w:basedOn w:val="1"/>
    <w:next w:val="1"/>
    <w:link w:val="33"/>
    <w:unhideWhenUsed/>
    <w:qFormat/>
    <w:locked/>
    <w:uiPriority w:val="0"/>
    <w:pPr>
      <w:keepNext/>
      <w:keepLines/>
      <w:spacing w:before="280" w:after="290" w:line="376" w:lineRule="auto"/>
      <w:outlineLvl w:val="3"/>
    </w:pPr>
    <w:rPr>
      <w:rFonts w:ascii="Cambria" w:hAnsi="Cambria"/>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Body Text Indent"/>
    <w:basedOn w:val="1"/>
    <w:link w:val="32"/>
    <w:qFormat/>
    <w:uiPriority w:val="0"/>
    <w:pPr>
      <w:spacing w:line="380" w:lineRule="exact"/>
      <w:ind w:firstLine="570"/>
    </w:pPr>
    <w:rPr>
      <w:rFonts w:ascii="Times New Roman" w:hAnsi="Times New Roman"/>
    </w:rPr>
  </w:style>
  <w:style w:type="paragraph" w:styleId="7">
    <w:name w:val="Plain Text"/>
    <w:basedOn w:val="1"/>
    <w:link w:val="18"/>
    <w:qFormat/>
    <w:uiPriority w:val="99"/>
    <w:rPr>
      <w:rFonts w:ascii="宋体" w:hAnsi="Courier New"/>
      <w:szCs w:val="21"/>
    </w:rPr>
  </w:style>
  <w:style w:type="paragraph" w:styleId="8">
    <w:name w:val="Balloon Text"/>
    <w:basedOn w:val="1"/>
    <w:link w:val="19"/>
    <w:qFormat/>
    <w:uiPriority w:val="99"/>
    <w:rPr>
      <w:sz w:val="18"/>
      <w:szCs w:val="18"/>
    </w:rPr>
  </w:style>
  <w:style w:type="paragraph" w:styleId="9">
    <w:name w:val="footer"/>
    <w:basedOn w:val="1"/>
    <w:link w:val="20"/>
    <w:qFormat/>
    <w:uiPriority w:val="99"/>
    <w:pPr>
      <w:tabs>
        <w:tab w:val="center" w:pos="4153"/>
        <w:tab w:val="right" w:pos="8306"/>
      </w:tabs>
      <w:snapToGrid w:val="0"/>
      <w:jc w:val="left"/>
    </w:pPr>
    <w:rPr>
      <w:sz w:val="18"/>
    </w:rPr>
  </w:style>
  <w:style w:type="paragraph" w:styleId="10">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pPr>
      <w:tabs>
        <w:tab w:val="left" w:pos="1120"/>
        <w:tab w:val="right" w:leader="dot" w:pos="8890"/>
      </w:tabs>
      <w:spacing w:before="120" w:after="120" w:line="520" w:lineRule="exact"/>
      <w:ind w:firstLine="402" w:firstLineChars="200"/>
      <w:jc w:val="left"/>
    </w:pPr>
    <w:rPr>
      <w:rFonts w:ascii="Times New Roman" w:hAnsi="Times New Roman" w:eastAsia="仿宋_GB2312"/>
      <w:b/>
      <w:bCs/>
      <w:caps/>
      <w:sz w:val="20"/>
      <w:szCs w:val="20"/>
    </w:rPr>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jc w:val="left"/>
    </w:pPr>
    <w:rPr>
      <w:kern w:val="0"/>
      <w:sz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unhideWhenUsed/>
    <w:qFormat/>
    <w:uiPriority w:val="99"/>
    <w:rPr>
      <w:color w:val="0000FF"/>
      <w:u w:val="single"/>
    </w:rPr>
  </w:style>
  <w:style w:type="character" w:customStyle="1" w:styleId="18">
    <w:name w:val="纯文本 Char1"/>
    <w:basedOn w:val="16"/>
    <w:link w:val="7"/>
    <w:qFormat/>
    <w:locked/>
    <w:uiPriority w:val="99"/>
    <w:rPr>
      <w:rFonts w:ascii="宋体" w:hAnsi="Courier New" w:eastAsia="宋体" w:cs="Courier New"/>
      <w:kern w:val="2"/>
      <w:sz w:val="21"/>
      <w:szCs w:val="21"/>
    </w:rPr>
  </w:style>
  <w:style w:type="character" w:customStyle="1" w:styleId="19">
    <w:name w:val="批注框文本 Char"/>
    <w:basedOn w:val="16"/>
    <w:link w:val="8"/>
    <w:qFormat/>
    <w:locked/>
    <w:uiPriority w:val="99"/>
    <w:rPr>
      <w:rFonts w:cs="Times New Roman"/>
      <w:kern w:val="2"/>
      <w:sz w:val="18"/>
      <w:szCs w:val="18"/>
    </w:rPr>
  </w:style>
  <w:style w:type="character" w:customStyle="1" w:styleId="20">
    <w:name w:val="页脚 Char"/>
    <w:basedOn w:val="16"/>
    <w:link w:val="9"/>
    <w:qFormat/>
    <w:uiPriority w:val="99"/>
    <w:rPr>
      <w:sz w:val="18"/>
      <w:szCs w:val="18"/>
    </w:rPr>
  </w:style>
  <w:style w:type="character" w:customStyle="1" w:styleId="21">
    <w:name w:val="页眉 Char"/>
    <w:basedOn w:val="16"/>
    <w:link w:val="10"/>
    <w:qFormat/>
    <w:uiPriority w:val="99"/>
    <w:rPr>
      <w:sz w:val="18"/>
      <w:szCs w:val="18"/>
    </w:rPr>
  </w:style>
  <w:style w:type="paragraph" w:customStyle="1" w:styleId="22">
    <w:name w:val="WPSOffice手动目录 1"/>
    <w:qFormat/>
    <w:uiPriority w:val="99"/>
    <w:rPr>
      <w:rFonts w:ascii="Calibri" w:hAnsi="Calibri" w:eastAsia="宋体" w:cs="Times New Roman"/>
      <w:lang w:val="en-US" w:eastAsia="zh-CN" w:bidi="ar-SA"/>
    </w:rPr>
  </w:style>
  <w:style w:type="paragraph" w:customStyle="1" w:styleId="23">
    <w:name w:val="WPSOffice手动目录 2"/>
    <w:qFormat/>
    <w:uiPriority w:val="99"/>
    <w:pPr>
      <w:ind w:left="200" w:leftChars="200"/>
    </w:pPr>
    <w:rPr>
      <w:rFonts w:ascii="Calibri" w:hAnsi="Calibri" w:eastAsia="宋体" w:cs="Times New Roman"/>
      <w:lang w:val="en-US" w:eastAsia="zh-CN" w:bidi="ar-SA"/>
    </w:rPr>
  </w:style>
  <w:style w:type="paragraph" w:styleId="24">
    <w:name w:val="List Paragraph"/>
    <w:basedOn w:val="1"/>
    <w:qFormat/>
    <w:uiPriority w:val="99"/>
    <w:pPr>
      <w:ind w:firstLine="420" w:firstLineChars="200"/>
    </w:pPr>
  </w:style>
  <w:style w:type="character" w:customStyle="1" w:styleId="25">
    <w:name w:val="纯文本 Char"/>
    <w:qFormat/>
    <w:uiPriority w:val="99"/>
    <w:rPr>
      <w:rFonts w:ascii="宋体" w:hAnsi="Courier New"/>
      <w:kern w:val="2"/>
      <w:sz w:val="21"/>
    </w:rPr>
  </w:style>
  <w:style w:type="paragraph" w:customStyle="1" w:styleId="26">
    <w:name w:val="列出段落1"/>
    <w:basedOn w:val="1"/>
    <w:qFormat/>
    <w:uiPriority w:val="99"/>
    <w:pPr>
      <w:ind w:firstLine="420" w:firstLineChars="200"/>
    </w:pPr>
    <w:rPr>
      <w:rFonts w:cs="Calibri"/>
      <w:szCs w:val="21"/>
    </w:rPr>
  </w:style>
  <w:style w:type="paragraph" w:customStyle="1" w:styleId="27">
    <w:name w:val="gs2"/>
    <w:basedOn w:val="1"/>
    <w:qFormat/>
    <w:uiPriority w:val="99"/>
    <w:pPr>
      <w:widowControl/>
      <w:spacing w:before="100" w:beforeAutospacing="1" w:after="100" w:afterAutospacing="1" w:line="525" w:lineRule="atLeast"/>
      <w:jc w:val="left"/>
    </w:pPr>
    <w:rPr>
      <w:rFonts w:ascii="宋体" w:hAnsi="宋体" w:cs="宋体"/>
      <w:kern w:val="0"/>
      <w:sz w:val="24"/>
    </w:rPr>
  </w:style>
  <w:style w:type="paragraph" w:customStyle="1" w:styleId="28">
    <w:name w:val="列出段落2"/>
    <w:basedOn w:val="1"/>
    <w:qFormat/>
    <w:uiPriority w:val="0"/>
    <w:pPr>
      <w:ind w:firstLine="420" w:firstLineChars="200"/>
    </w:pPr>
    <w:rPr>
      <w:szCs w:val="22"/>
    </w:rPr>
  </w:style>
  <w:style w:type="paragraph" w:customStyle="1" w:styleId="29">
    <w:name w:val="WPS Plain"/>
    <w:qFormat/>
    <w:uiPriority w:val="0"/>
    <w:rPr>
      <w:rFonts w:ascii="Times New Roman" w:hAnsi="Times New Roman" w:eastAsia="宋体" w:cs="Times New Roman"/>
      <w:lang w:val="en-US" w:eastAsia="zh-CN" w:bidi="ar-SA"/>
    </w:rPr>
  </w:style>
  <w:style w:type="paragraph" w:styleId="30">
    <w:name w:val="No Spacing"/>
    <w:link w:val="31"/>
    <w:qFormat/>
    <w:uiPriority w:val="1"/>
    <w:rPr>
      <w:rFonts w:ascii="Calibri" w:hAnsi="Calibri" w:eastAsia="宋体" w:cs="Times New Roman"/>
      <w:sz w:val="22"/>
      <w:szCs w:val="22"/>
      <w:lang w:val="en-US" w:eastAsia="zh-CN" w:bidi="ar-SA"/>
    </w:rPr>
  </w:style>
  <w:style w:type="character" w:customStyle="1" w:styleId="31">
    <w:name w:val="无间隔 Char"/>
    <w:basedOn w:val="16"/>
    <w:link w:val="30"/>
    <w:qFormat/>
    <w:uiPriority w:val="1"/>
    <w:rPr>
      <w:rFonts w:ascii="Calibri" w:hAnsi="Calibri"/>
      <w:sz w:val="22"/>
      <w:szCs w:val="22"/>
      <w:lang w:val="en-US" w:eastAsia="zh-CN" w:bidi="ar-SA"/>
    </w:rPr>
  </w:style>
  <w:style w:type="character" w:customStyle="1" w:styleId="32">
    <w:name w:val="正文文本缩进 Char"/>
    <w:basedOn w:val="16"/>
    <w:link w:val="6"/>
    <w:qFormat/>
    <w:uiPriority w:val="0"/>
    <w:rPr>
      <w:rFonts w:ascii="Times New Roman" w:hAnsi="Times New Roman"/>
      <w:kern w:val="2"/>
      <w:sz w:val="21"/>
      <w:szCs w:val="24"/>
    </w:rPr>
  </w:style>
  <w:style w:type="character" w:customStyle="1" w:styleId="33">
    <w:name w:val="标题 4 Char"/>
    <w:basedOn w:val="16"/>
    <w:link w:val="5"/>
    <w:qFormat/>
    <w:uiPriority w:val="0"/>
    <w:rPr>
      <w:rFonts w:ascii="Cambria" w:hAnsi="Cambria" w:eastAsia="宋体" w:cs="Times New Roman"/>
      <w:b/>
      <w:bCs/>
      <w:kern w:val="2"/>
      <w:sz w:val="28"/>
      <w:szCs w:val="28"/>
    </w:rPr>
  </w:style>
  <w:style w:type="character" w:customStyle="1" w:styleId="34">
    <w:name w:val="标题 1 Char"/>
    <w:basedOn w:val="16"/>
    <w:link w:val="2"/>
    <w:qFormat/>
    <w:uiPriority w:val="0"/>
    <w:rPr>
      <w:b/>
      <w:bCs/>
      <w:kern w:val="44"/>
      <w:sz w:val="44"/>
      <w:szCs w:val="44"/>
    </w:rPr>
  </w:style>
  <w:style w:type="character" w:customStyle="1" w:styleId="35">
    <w:name w:val="font01"/>
    <w:basedOn w:val="16"/>
    <w:qFormat/>
    <w:uiPriority w:val="0"/>
    <w:rPr>
      <w:rFonts w:ascii="Arial" w:hAnsi="Arial" w:cs="Arial"/>
      <w:b/>
      <w:color w:val="000000"/>
      <w:sz w:val="20"/>
      <w:szCs w:val="20"/>
      <w:u w:val="none"/>
    </w:rPr>
  </w:style>
  <w:style w:type="character" w:customStyle="1" w:styleId="36">
    <w:name w:val="标题 3 Char"/>
    <w:link w:val="4"/>
    <w:qFormat/>
    <w:uiPriority w:val="0"/>
    <w:rPr>
      <w:b/>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2061"/>
    <customShpInfo spid="_x0000_s1026"/>
    <customShpInfo spid="_x0000_s120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AF115-AC76-40B6-9BAB-C10E35A897F2}">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36</Pages>
  <Words>3655</Words>
  <Characters>20837</Characters>
  <Lines>173</Lines>
  <Paragraphs>48</Paragraphs>
  <TotalTime>1</TotalTime>
  <ScaleCrop>false</ScaleCrop>
  <LinksUpToDate>false</LinksUpToDate>
  <CharactersWithSpaces>24444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2021-10-14T07:11:00Z</cp:lastPrinted>
  <dcterms:modified xsi:type="dcterms:W3CDTF">2023-10-25T02:47:01Z</dcterms:modified>
  <cp:revision>732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35A9B1804DEA4932AC8EA7CF595D9817</vt:lpwstr>
  </property>
</Properties>
</file>